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10FED" w14:textId="77777777" w:rsidR="00B51AD4" w:rsidRPr="00371682" w:rsidRDefault="0064393A" w:rsidP="0064393A">
      <w:pPr>
        <w:pStyle w:val="Titre1"/>
        <w:rPr>
          <w:caps/>
        </w:rPr>
      </w:pPr>
      <w:r w:rsidRPr="00371682">
        <w:rPr>
          <w:caps/>
        </w:rPr>
        <w:t>Ouvrages publiés</w:t>
      </w:r>
    </w:p>
    <w:p w14:paraId="1B3CCD58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</w:t>
      </w:r>
      <w:r w:rsidR="0064393A" w:rsidRPr="00D3012F">
        <w:rPr>
          <w:sz w:val="20"/>
        </w:rPr>
        <w:t>scopie électronique à balayage et</w:t>
      </w:r>
      <w:r w:rsidRPr="00D3012F">
        <w:rPr>
          <w:sz w:val="20"/>
        </w:rPr>
        <w:t xml:space="preserve"> Microanalyses (EDP Sciences - 2018)</w:t>
      </w:r>
    </w:p>
    <w:p w14:paraId="069E5F12" w14:textId="77777777" w:rsidR="00B51AD4" w:rsidRPr="00D3012F" w:rsidRDefault="00D871D8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>
        <w:rPr>
          <w:sz w:val="20"/>
        </w:rPr>
        <w:t>EBSD :</w:t>
      </w:r>
      <w:r w:rsidR="00B51AD4" w:rsidRPr="00D3012F">
        <w:rPr>
          <w:sz w:val="20"/>
        </w:rPr>
        <w:t xml:space="preserve"> Analyse par diffraction des électrons rétrodiffusés, Applications et techniques couplées (EDP Sciences 2015)</w:t>
      </w:r>
    </w:p>
    <w:p w14:paraId="04B1EE90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Préparation des échantillons pour MEB et M</w:t>
      </w:r>
      <w:r w:rsidR="00E31C3C">
        <w:rPr>
          <w:sz w:val="20"/>
        </w:rPr>
        <w:t>icroanalyses (EDP Sciences 2011 - épuisé, nouvelle édition en cours)</w:t>
      </w:r>
    </w:p>
    <w:p w14:paraId="3919C68E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L’analyse EBSD : principes et applications (EDP Sciences 2004</w:t>
      </w:r>
      <w:r w:rsidR="00E31C3C">
        <w:rPr>
          <w:sz w:val="20"/>
        </w:rPr>
        <w:t xml:space="preserve"> - épuisé)</w:t>
      </w:r>
    </w:p>
    <w:p w14:paraId="2CE310ED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Microanalyse X par sonde électronique : méthodes de Monte-Carlo et modèles de correction (ANRT 1997)</w:t>
      </w:r>
    </w:p>
    <w:p w14:paraId="1E0D17AF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Les nouvelles techniques de micro et nano-analyse (ANRT 1995)</w:t>
      </w:r>
    </w:p>
    <w:p w14:paraId="77526844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Les nouvelles microscopies (ANRT 1993)</w:t>
      </w:r>
    </w:p>
    <w:p w14:paraId="2F76F4C9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Microscopie électronique à balayage é Microanalyses (Livre de l'Ecole d'Eté de St Martin d'Hères, EDP Sciences 2008 - épuisé)</w:t>
      </w:r>
    </w:p>
    <w:p w14:paraId="01999512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Travaux pratiques de microscopie électronique à balayage et de microanalyse X (ANRT 1994- épuisé)</w:t>
      </w:r>
    </w:p>
    <w:p w14:paraId="7BF8830A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Traitement d'images en microscopie à balayage et en microanalyse par sonde électronique (ANRT 1990 - épuisé)</w:t>
      </w:r>
    </w:p>
    <w:p w14:paraId="07C81CFC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Microanalyse par sonde électronique : aspects quantitatifs (ANRT 1989 - épuisé)</w:t>
      </w:r>
    </w:p>
    <w:p w14:paraId="230CA26D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Microanalyse par sonde électronique : spectrométrie de rayons X (ANRT 1987 - épuisé)</w:t>
      </w:r>
    </w:p>
    <w:p w14:paraId="36BFEFE3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Pratique du microscope électronique à balayage (ANRT 1985 - épuisé)</w:t>
      </w:r>
    </w:p>
    <w:p w14:paraId="7C62AB75" w14:textId="77777777" w:rsidR="00B51AD4" w:rsidRPr="00D3012F" w:rsidRDefault="00B51AD4" w:rsidP="00D926E5">
      <w:pPr>
        <w:pStyle w:val="Paragraphedeliste"/>
        <w:numPr>
          <w:ilvl w:val="0"/>
          <w:numId w:val="11"/>
        </w:numPr>
        <w:ind w:left="284" w:hanging="284"/>
        <w:rPr>
          <w:sz w:val="20"/>
        </w:rPr>
      </w:pPr>
      <w:r w:rsidRPr="00D3012F">
        <w:rPr>
          <w:sz w:val="20"/>
        </w:rPr>
        <w:t>Microanalyse et microscopie électronique à balayage (Edition de Physique 1978 - épuisé)</w:t>
      </w:r>
    </w:p>
    <w:p w14:paraId="70589918" w14:textId="77777777" w:rsidR="00B51AD4" w:rsidRPr="00D3012F" w:rsidRDefault="00B51AD4" w:rsidP="00B51AD4">
      <w:pPr>
        <w:rPr>
          <w:rStyle w:val="Rfrenceintense"/>
        </w:rPr>
      </w:pPr>
      <w:r w:rsidRPr="00D3012F">
        <w:rPr>
          <w:rStyle w:val="Rfrenceintense"/>
        </w:rPr>
        <w:t>Pour l’achat d’ouvrages, s’adresser à :</w:t>
      </w:r>
    </w:p>
    <w:p w14:paraId="11F615A6" w14:textId="77777777" w:rsidR="00B51AD4" w:rsidRPr="00D3012F" w:rsidRDefault="00B51AD4" w:rsidP="00B51AD4">
      <w:pPr>
        <w:rPr>
          <w:sz w:val="20"/>
        </w:rPr>
      </w:pPr>
      <w:r w:rsidRPr="00D3012F">
        <w:rPr>
          <w:sz w:val="20"/>
        </w:rPr>
        <w:t>EDP Sciences - 91944 Les Ulis Cedex A</w:t>
      </w:r>
    </w:p>
    <w:p w14:paraId="28A93262" w14:textId="77777777" w:rsidR="00B51AD4" w:rsidRPr="00D3012F" w:rsidRDefault="00B51AD4" w:rsidP="00B51AD4">
      <w:pPr>
        <w:rPr>
          <w:sz w:val="20"/>
          <w:lang w:val="en-GB"/>
        </w:rPr>
      </w:pPr>
      <w:r w:rsidRPr="00D3012F">
        <w:rPr>
          <w:sz w:val="20"/>
          <w:lang w:val="en-GB"/>
        </w:rPr>
        <w:t>Tel. 01 69 18 75 75 / Fax 01 69 28 84 91</w:t>
      </w:r>
    </w:p>
    <w:p w14:paraId="7DFEB277" w14:textId="77777777" w:rsidR="00B51AD4" w:rsidRPr="00D3012F" w:rsidRDefault="003619A0" w:rsidP="00B51AD4">
      <w:pPr>
        <w:rPr>
          <w:sz w:val="20"/>
          <w:lang w:val="en-GB"/>
        </w:rPr>
      </w:pPr>
      <w:hyperlink r:id="rId8" w:history="1">
        <w:r w:rsidR="0064393A" w:rsidRPr="00D3012F">
          <w:rPr>
            <w:rStyle w:val="Lienhypertexte"/>
            <w:sz w:val="20"/>
            <w:lang w:val="en-GB"/>
          </w:rPr>
          <w:t>http://laboutique.edpsciences.fr/editeur/12/GN-MEBA</w:t>
        </w:r>
      </w:hyperlink>
      <w:r w:rsidR="0064393A" w:rsidRPr="00D3012F">
        <w:rPr>
          <w:sz w:val="20"/>
          <w:lang w:val="en-GB"/>
        </w:rPr>
        <w:t xml:space="preserve"> </w:t>
      </w:r>
    </w:p>
    <w:p w14:paraId="2F116968" w14:textId="77777777" w:rsidR="00B51AD4" w:rsidRPr="00E31C3C" w:rsidRDefault="00D926E5" w:rsidP="00B51AD4">
      <w:pPr>
        <w:rPr>
          <w:sz w:val="2"/>
          <w:szCs w:val="2"/>
          <w:lang w:val="en-GB"/>
        </w:rPr>
      </w:pPr>
      <w:r w:rsidRPr="00BF6D82">
        <w:rPr>
          <w:lang w:val="en-GB"/>
        </w:rPr>
        <w:br w:type="column"/>
      </w:r>
    </w:p>
    <w:p w14:paraId="4A057D18" w14:textId="488A4FF3" w:rsidR="00B51AD4" w:rsidRDefault="003619A0" w:rsidP="00D3012F">
      <w:pPr>
        <w:pStyle w:val="Titre1"/>
        <w:jc w:val="left"/>
      </w:pPr>
      <w:r w:rsidRPr="003619A0">
        <w:rPr>
          <w:caps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367782" wp14:editId="3F681FB0">
                <wp:simplePos x="0" y="0"/>
                <wp:positionH relativeFrom="column">
                  <wp:posOffset>3463925</wp:posOffset>
                </wp:positionH>
                <wp:positionV relativeFrom="paragraph">
                  <wp:posOffset>420370</wp:posOffset>
                </wp:positionV>
                <wp:extent cx="3246120" cy="6560820"/>
                <wp:effectExtent l="0" t="0" r="0" b="0"/>
                <wp:wrapNone/>
                <wp:docPr id="2" name="Organigramme : Entrée manu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6560820"/>
                        </a:xfrm>
                        <a:prstGeom prst="flowChartManualInpu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100000">
                              <a:schemeClr val="accent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EBA56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2" o:spid="_x0000_s1026" type="#_x0000_t118" style="position:absolute;margin-left:272.75pt;margin-top:33.1pt;width:255.6pt;height:51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" fillcolor="#025a7f [3204]" stroked="f" strokeweight="1pt">
                <v:fill color2="#0fbcbe [3205]" focus="100%" type="gradient"/>
              </v:shape>
            </w:pict>
          </mc:Fallback>
        </mc:AlternateContent>
      </w:r>
      <w:r w:rsidR="00B51AD4" w:rsidRPr="003619A0">
        <w:rPr>
          <w:caps/>
        </w:rPr>
        <w:t>Conseil du Groupement</w:t>
      </w:r>
      <w:r w:rsidR="0064393A">
        <w:t xml:space="preserve"> </w:t>
      </w:r>
      <w:r w:rsidR="00D3012F">
        <w:br/>
      </w:r>
      <w:r w:rsidR="0064393A">
        <w:t>(élu le 04/12 /2025</w:t>
      </w:r>
      <w:r w:rsidR="00B51AD4">
        <w:t>)</w:t>
      </w:r>
    </w:p>
    <w:p w14:paraId="4F9CD20B" w14:textId="77777777" w:rsidR="00D3012F" w:rsidRPr="00D3012F" w:rsidRDefault="00D3012F" w:rsidP="00D3012F"/>
    <w:p w14:paraId="4E32BF0B" w14:textId="77777777" w:rsidR="00B51AD4" w:rsidRDefault="0064393A" w:rsidP="00D926E5">
      <w:pPr>
        <w:pStyle w:val="Titre2"/>
      </w:pPr>
      <w:r>
        <w:t>Présidence :</w:t>
      </w:r>
    </w:p>
    <w:p w14:paraId="0BD7FB0A" w14:textId="77777777" w:rsidR="00B51AD4" w:rsidRDefault="00B51AD4" w:rsidP="0064393A">
      <w:pPr>
        <w:rPr>
          <w:rStyle w:val="Rfrenceintense"/>
          <w:sz w:val="20"/>
        </w:rPr>
      </w:pPr>
      <w:r w:rsidRPr="00D3012F">
        <w:rPr>
          <w:sz w:val="20"/>
          <w:szCs w:val="20"/>
        </w:rPr>
        <w:t>François</w:t>
      </w:r>
      <w:r w:rsidR="0064393A" w:rsidRPr="00D3012F">
        <w:rPr>
          <w:sz w:val="20"/>
          <w:szCs w:val="20"/>
        </w:rPr>
        <w:t xml:space="preserve"> BRISSET </w:t>
      </w:r>
      <w:r w:rsidRPr="00D3012F">
        <w:rPr>
          <w:sz w:val="20"/>
          <w:szCs w:val="20"/>
        </w:rPr>
        <w:t xml:space="preserve">– </w:t>
      </w:r>
      <w:r w:rsidR="0064393A" w:rsidRPr="00D3012F">
        <w:rPr>
          <w:rStyle w:val="Rfrenceintense"/>
          <w:sz w:val="20"/>
        </w:rPr>
        <w:t>CNRS, Université Paris-Saclay</w:t>
      </w:r>
    </w:p>
    <w:p w14:paraId="77C673A4" w14:textId="77777777" w:rsidR="00B51AD4" w:rsidRDefault="0064393A" w:rsidP="00D926E5">
      <w:pPr>
        <w:pStyle w:val="Titre2"/>
      </w:pPr>
      <w:r>
        <w:t>Vice-Présidence :</w:t>
      </w:r>
    </w:p>
    <w:p w14:paraId="134F3F96" w14:textId="77777777" w:rsidR="00B51AD4" w:rsidRPr="00D3012F" w:rsidRDefault="00B51AD4" w:rsidP="00B51AD4">
      <w:pPr>
        <w:rPr>
          <w:rStyle w:val="Rfrenceintense"/>
        </w:rPr>
      </w:pPr>
      <w:r w:rsidRPr="00D3012F">
        <w:rPr>
          <w:sz w:val="20"/>
          <w:szCs w:val="20"/>
        </w:rPr>
        <w:t xml:space="preserve">Florence ROBAUT – </w:t>
      </w:r>
      <w:r w:rsidRPr="00D3012F">
        <w:rPr>
          <w:rStyle w:val="Rfrenceintense"/>
          <w:sz w:val="20"/>
        </w:rPr>
        <w:t>SIMAP</w:t>
      </w:r>
      <w:r w:rsidR="0064393A" w:rsidRPr="00D3012F">
        <w:rPr>
          <w:rStyle w:val="Rfrenceintense"/>
          <w:sz w:val="20"/>
        </w:rPr>
        <w:t>, CMTC</w:t>
      </w:r>
    </w:p>
    <w:p w14:paraId="62470B46" w14:textId="77777777" w:rsidR="0064393A" w:rsidRDefault="0064393A" w:rsidP="0064393A">
      <w:pPr>
        <w:rPr>
          <w:rStyle w:val="Rfrenceintense"/>
          <w:sz w:val="20"/>
        </w:rPr>
      </w:pPr>
      <w:r w:rsidRPr="00D3012F">
        <w:rPr>
          <w:sz w:val="20"/>
          <w:szCs w:val="20"/>
        </w:rPr>
        <w:t xml:space="preserve">Philippe JONNARD – </w:t>
      </w:r>
      <w:r w:rsidRPr="00D3012F">
        <w:rPr>
          <w:rStyle w:val="Rfrenceintense"/>
          <w:sz w:val="20"/>
        </w:rPr>
        <w:t>LCPMR, Sorbonne Université, CNRS</w:t>
      </w:r>
    </w:p>
    <w:p w14:paraId="5A885598" w14:textId="77777777" w:rsidR="00B51AD4" w:rsidRDefault="00B51AD4" w:rsidP="00D926E5">
      <w:pPr>
        <w:pStyle w:val="Titre2"/>
      </w:pPr>
      <w:r>
        <w:t>S</w:t>
      </w:r>
      <w:r w:rsidR="0064393A">
        <w:t>ecrétariat :</w:t>
      </w:r>
    </w:p>
    <w:p w14:paraId="3B4887E7" w14:textId="77777777" w:rsidR="0064393A" w:rsidRPr="00D3012F" w:rsidRDefault="0064393A" w:rsidP="0064393A">
      <w:pPr>
        <w:rPr>
          <w:sz w:val="20"/>
          <w:szCs w:val="20"/>
        </w:rPr>
      </w:pPr>
      <w:r w:rsidRPr="00D3012F">
        <w:rPr>
          <w:sz w:val="20"/>
          <w:szCs w:val="20"/>
        </w:rPr>
        <w:t xml:space="preserve">Imène ESTEVE – </w:t>
      </w:r>
      <w:r w:rsidRPr="00D3012F">
        <w:rPr>
          <w:rStyle w:val="Rfrenceintense"/>
          <w:sz w:val="20"/>
        </w:rPr>
        <w:t>IMPMC</w:t>
      </w:r>
    </w:p>
    <w:p w14:paraId="68928108" w14:textId="77777777" w:rsidR="0064393A" w:rsidRPr="00D3012F" w:rsidRDefault="0064393A" w:rsidP="0064393A">
      <w:pPr>
        <w:rPr>
          <w:sz w:val="20"/>
          <w:szCs w:val="20"/>
        </w:rPr>
      </w:pPr>
      <w:r w:rsidRPr="00D3012F">
        <w:rPr>
          <w:sz w:val="20"/>
          <w:szCs w:val="20"/>
        </w:rPr>
        <w:t xml:space="preserve">Christian MATHIEU – </w:t>
      </w:r>
      <w:r w:rsidRPr="00D3012F">
        <w:rPr>
          <w:rStyle w:val="Rfrenceintense"/>
          <w:sz w:val="20"/>
        </w:rPr>
        <w:t xml:space="preserve">Univ. </w:t>
      </w:r>
      <w:proofErr w:type="gramStart"/>
      <w:r w:rsidRPr="00D3012F">
        <w:rPr>
          <w:rStyle w:val="Rfrenceintense"/>
          <w:sz w:val="20"/>
        </w:rPr>
        <w:t>d'Artois ,</w:t>
      </w:r>
      <w:proofErr w:type="gramEnd"/>
      <w:r w:rsidRPr="00D3012F">
        <w:rPr>
          <w:rStyle w:val="Rfrenceintense"/>
          <w:sz w:val="20"/>
        </w:rPr>
        <w:t xml:space="preserve"> UCCS</w:t>
      </w:r>
    </w:p>
    <w:p w14:paraId="576D011F" w14:textId="77777777" w:rsidR="0064393A" w:rsidRDefault="0064393A" w:rsidP="0064393A">
      <w:pPr>
        <w:rPr>
          <w:rStyle w:val="Rfrenceintense"/>
          <w:sz w:val="20"/>
        </w:rPr>
      </w:pPr>
      <w:r w:rsidRPr="00D3012F">
        <w:rPr>
          <w:sz w:val="20"/>
          <w:szCs w:val="20"/>
        </w:rPr>
        <w:t xml:space="preserve">Sébastien PAIRIS </w:t>
      </w:r>
      <w:r w:rsidR="00D3012F" w:rsidRPr="00D3012F">
        <w:rPr>
          <w:sz w:val="20"/>
          <w:szCs w:val="20"/>
        </w:rPr>
        <w:t>–</w:t>
      </w:r>
      <w:r w:rsidRPr="00D3012F">
        <w:rPr>
          <w:sz w:val="20"/>
          <w:szCs w:val="20"/>
        </w:rPr>
        <w:t xml:space="preserve"> </w:t>
      </w:r>
      <w:r w:rsidRPr="00D3012F">
        <w:rPr>
          <w:rStyle w:val="Rfrenceintense"/>
          <w:sz w:val="20"/>
        </w:rPr>
        <w:t>Institut Néel</w:t>
      </w:r>
    </w:p>
    <w:p w14:paraId="0BD0EDB6" w14:textId="77777777" w:rsidR="00B51AD4" w:rsidRDefault="00D926E5" w:rsidP="00D926E5">
      <w:pPr>
        <w:pStyle w:val="Titre2"/>
      </w:pPr>
      <w:r>
        <w:t>Trésorerie :</w:t>
      </w:r>
    </w:p>
    <w:p w14:paraId="693C24B9" w14:textId="77777777" w:rsidR="00B51AD4" w:rsidRPr="00D3012F" w:rsidRDefault="00B51AD4" w:rsidP="00B51AD4">
      <w:pPr>
        <w:rPr>
          <w:sz w:val="20"/>
          <w:szCs w:val="20"/>
        </w:rPr>
      </w:pPr>
      <w:r w:rsidRPr="00D3012F">
        <w:rPr>
          <w:sz w:val="20"/>
          <w:szCs w:val="20"/>
        </w:rPr>
        <w:t xml:space="preserve">Christine </w:t>
      </w:r>
      <w:r w:rsidR="0064393A" w:rsidRPr="00D3012F">
        <w:rPr>
          <w:caps/>
          <w:sz w:val="20"/>
          <w:szCs w:val="20"/>
        </w:rPr>
        <w:t>Clément</w:t>
      </w:r>
      <w:r w:rsidR="00D926E5" w:rsidRPr="00D3012F">
        <w:rPr>
          <w:sz w:val="20"/>
          <w:szCs w:val="20"/>
        </w:rPr>
        <w:t xml:space="preserve"> – </w:t>
      </w:r>
      <w:r w:rsidR="00D926E5" w:rsidRPr="00D3012F">
        <w:rPr>
          <w:rStyle w:val="Rfrenceintense"/>
          <w:sz w:val="20"/>
        </w:rPr>
        <w:t>IJL</w:t>
      </w:r>
    </w:p>
    <w:p w14:paraId="4359C398" w14:textId="77777777" w:rsidR="00D926E5" w:rsidRDefault="00D926E5" w:rsidP="00D926E5">
      <w:pPr>
        <w:rPr>
          <w:sz w:val="22"/>
          <w:szCs w:val="20"/>
        </w:rPr>
      </w:pPr>
      <w:r w:rsidRPr="00D3012F">
        <w:rPr>
          <w:sz w:val="20"/>
          <w:szCs w:val="20"/>
        </w:rPr>
        <w:t xml:space="preserve">Guillaume WILLE – </w:t>
      </w:r>
      <w:r w:rsidRPr="00D3012F">
        <w:rPr>
          <w:rStyle w:val="Rfrenceintense"/>
          <w:sz w:val="20"/>
        </w:rPr>
        <w:t>BRGM</w:t>
      </w:r>
      <w:r w:rsidRPr="00D3012F">
        <w:rPr>
          <w:sz w:val="22"/>
          <w:szCs w:val="20"/>
        </w:rPr>
        <w:t xml:space="preserve"> </w:t>
      </w:r>
    </w:p>
    <w:p w14:paraId="65B177C2" w14:textId="77777777" w:rsidR="00B51AD4" w:rsidRDefault="00D926E5" w:rsidP="00D926E5">
      <w:pPr>
        <w:pStyle w:val="Titre2"/>
      </w:pPr>
      <w:r>
        <w:t>Site web :</w:t>
      </w:r>
    </w:p>
    <w:p w14:paraId="644C29A3" w14:textId="77777777" w:rsidR="0064393A" w:rsidRDefault="0064393A" w:rsidP="0064393A">
      <w:pPr>
        <w:rPr>
          <w:rStyle w:val="Rfrenceintense"/>
          <w:sz w:val="20"/>
        </w:rPr>
      </w:pPr>
      <w:r w:rsidRPr="00D3012F">
        <w:rPr>
          <w:sz w:val="20"/>
          <w:szCs w:val="20"/>
        </w:rPr>
        <w:t xml:space="preserve">Marie-Eline COUTURIER – </w:t>
      </w:r>
      <w:r w:rsidRPr="00D3012F">
        <w:rPr>
          <w:rStyle w:val="Rfrenceintense"/>
          <w:sz w:val="20"/>
        </w:rPr>
        <w:t>SFC</w:t>
      </w:r>
    </w:p>
    <w:p w14:paraId="58E63C16" w14:textId="77777777" w:rsidR="00B51AD4" w:rsidRDefault="00D926E5" w:rsidP="00D926E5">
      <w:pPr>
        <w:pStyle w:val="Titre2"/>
      </w:pPr>
      <w:r>
        <w:t>Autres membres :</w:t>
      </w:r>
    </w:p>
    <w:p w14:paraId="139C0B16" w14:textId="77777777" w:rsidR="00D926E5" w:rsidRPr="00D3012F" w:rsidRDefault="00D926E5" w:rsidP="0064393A">
      <w:pPr>
        <w:rPr>
          <w:sz w:val="20"/>
          <w:szCs w:val="20"/>
        </w:rPr>
      </w:pPr>
      <w:r w:rsidRPr="00D3012F">
        <w:rPr>
          <w:sz w:val="20"/>
          <w:szCs w:val="20"/>
        </w:rPr>
        <w:t xml:space="preserve">Quentin </w:t>
      </w:r>
      <w:r w:rsidRPr="00D3012F">
        <w:rPr>
          <w:caps/>
          <w:sz w:val="20"/>
          <w:szCs w:val="20"/>
        </w:rPr>
        <w:t>Barrès</w:t>
      </w:r>
      <w:r w:rsidRPr="00D3012F">
        <w:rPr>
          <w:sz w:val="20"/>
          <w:szCs w:val="20"/>
        </w:rPr>
        <w:t xml:space="preserve"> – </w:t>
      </w:r>
      <w:r w:rsidRPr="00D3012F">
        <w:rPr>
          <w:rStyle w:val="Rfrenceintense"/>
          <w:sz w:val="20"/>
        </w:rPr>
        <w:t>ONERA</w:t>
      </w:r>
      <w:r w:rsidRPr="00D3012F">
        <w:rPr>
          <w:sz w:val="22"/>
          <w:szCs w:val="20"/>
        </w:rPr>
        <w:t xml:space="preserve"> </w:t>
      </w:r>
    </w:p>
    <w:p w14:paraId="6461FE77" w14:textId="77777777" w:rsidR="0064393A" w:rsidRPr="00D3012F" w:rsidRDefault="00D926E5" w:rsidP="0064393A">
      <w:pPr>
        <w:rPr>
          <w:rStyle w:val="Rfrenceintense"/>
        </w:rPr>
      </w:pPr>
      <w:r w:rsidRPr="00D3012F">
        <w:rPr>
          <w:sz w:val="20"/>
          <w:szCs w:val="20"/>
        </w:rPr>
        <w:t xml:space="preserve">Denis BOIVIN – </w:t>
      </w:r>
      <w:r w:rsidRPr="00D3012F">
        <w:rPr>
          <w:rStyle w:val="Rfrenceintense"/>
          <w:sz w:val="20"/>
        </w:rPr>
        <w:t>retraité ONERA</w:t>
      </w:r>
    </w:p>
    <w:p w14:paraId="1E6C1345" w14:textId="77777777" w:rsidR="00D926E5" w:rsidRPr="00D3012F" w:rsidRDefault="00D926E5" w:rsidP="00D926E5">
      <w:pPr>
        <w:rPr>
          <w:sz w:val="20"/>
          <w:szCs w:val="20"/>
        </w:rPr>
      </w:pPr>
      <w:r w:rsidRPr="00D3012F">
        <w:rPr>
          <w:sz w:val="20"/>
          <w:szCs w:val="20"/>
        </w:rPr>
        <w:t xml:space="preserve">Alexis </w:t>
      </w:r>
      <w:r w:rsidRPr="00D3012F">
        <w:rPr>
          <w:caps/>
          <w:sz w:val="20"/>
          <w:szCs w:val="20"/>
        </w:rPr>
        <w:t>Canette</w:t>
      </w:r>
      <w:r w:rsidRPr="00D3012F">
        <w:rPr>
          <w:sz w:val="20"/>
          <w:szCs w:val="20"/>
        </w:rPr>
        <w:t xml:space="preserve"> – </w:t>
      </w:r>
      <w:r w:rsidRPr="00D3012F">
        <w:rPr>
          <w:rStyle w:val="Rfrenceintense"/>
          <w:sz w:val="20"/>
        </w:rPr>
        <w:t>IBPS</w:t>
      </w:r>
      <w:r w:rsidRPr="00D3012F">
        <w:rPr>
          <w:sz w:val="22"/>
          <w:szCs w:val="20"/>
        </w:rPr>
        <w:t xml:space="preserve"> </w:t>
      </w:r>
    </w:p>
    <w:p w14:paraId="332BF118" w14:textId="77777777" w:rsidR="00D3012F" w:rsidRDefault="00D926E5" w:rsidP="00B51AD4">
      <w:pPr>
        <w:rPr>
          <w:rStyle w:val="Rfrenceintense"/>
          <w:sz w:val="20"/>
        </w:rPr>
      </w:pPr>
      <w:r w:rsidRPr="00D3012F">
        <w:rPr>
          <w:sz w:val="20"/>
          <w:szCs w:val="20"/>
        </w:rPr>
        <w:t xml:space="preserve">Alain JADIN – </w:t>
      </w:r>
      <w:proofErr w:type="spellStart"/>
      <w:r w:rsidRPr="00D3012F">
        <w:rPr>
          <w:rStyle w:val="Rfrenceintense"/>
          <w:sz w:val="20"/>
        </w:rPr>
        <w:t>CerTech</w:t>
      </w:r>
      <w:proofErr w:type="spellEnd"/>
    </w:p>
    <w:p w14:paraId="37CCF3F2" w14:textId="77777777" w:rsidR="006E4A60" w:rsidRPr="00D3012F" w:rsidRDefault="006E4A60" w:rsidP="006E4A60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4BABA69B" wp14:editId="1323611A">
            <wp:extent cx="2898368" cy="162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- groupe avec alexis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8368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756AB" w14:textId="1362FCEC" w:rsidR="00B51AD4" w:rsidRDefault="00D926E5" w:rsidP="003619A0">
      <w:pPr>
        <w:jc w:val="center"/>
      </w:pPr>
      <w:r>
        <w:br w:type="column"/>
      </w:r>
      <w:r w:rsidR="003619A0">
        <w:rPr>
          <w:noProof/>
          <w:lang w:eastAsia="fr-FR"/>
        </w:rPr>
        <w:lastRenderedPageBreak/>
        <w:drawing>
          <wp:inline distT="0" distB="0" distL="0" distR="0" wp14:anchorId="51A83077" wp14:editId="5E51A06F">
            <wp:extent cx="3058744" cy="723900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GN MEBA_HauteResolution_Couleur_2025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0000" cy="724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DB27D" w14:textId="2B91DF2A" w:rsidR="003619A0" w:rsidRPr="003619A0" w:rsidRDefault="003619A0" w:rsidP="003619A0">
      <w:pPr>
        <w:jc w:val="center"/>
        <w:rPr>
          <w:sz w:val="20"/>
        </w:rPr>
      </w:pPr>
      <w:r w:rsidRPr="003619A0">
        <w:rPr>
          <w:sz w:val="20"/>
        </w:rPr>
        <w:t xml:space="preserve">Groupement National de Microscopie Electronique à Balayage et de </w:t>
      </w:r>
      <w:proofErr w:type="spellStart"/>
      <w:r w:rsidRPr="003619A0">
        <w:rPr>
          <w:sz w:val="20"/>
        </w:rPr>
        <w:t>microAnalyses</w:t>
      </w:r>
      <w:proofErr w:type="spellEnd"/>
    </w:p>
    <w:p w14:paraId="6236D545" w14:textId="7F2528AA" w:rsidR="00B51AD4" w:rsidRPr="003619A0" w:rsidRDefault="00B51AD4" w:rsidP="00B51AD4">
      <w:pPr>
        <w:rPr>
          <w:i/>
          <w:color w:val="000000" w:themeColor="text1"/>
        </w:rPr>
      </w:pPr>
      <w:r w:rsidRPr="003619A0">
        <w:rPr>
          <w:i/>
          <w:color w:val="000000" w:themeColor="text1"/>
        </w:rPr>
        <w:t>En convention de coopération avec la Société Française de Physique</w:t>
      </w:r>
    </w:p>
    <w:p w14:paraId="6CA0920E" w14:textId="162B1777" w:rsidR="00B51AD4" w:rsidRDefault="00B51AD4" w:rsidP="00B51AD4"/>
    <w:p w14:paraId="671002B1" w14:textId="77777777" w:rsidR="00B51AD4" w:rsidRPr="00371682" w:rsidRDefault="00B51AD4" w:rsidP="00B51AD4">
      <w:pPr>
        <w:rPr>
          <w:color w:val="FFFFFF" w:themeColor="background1"/>
          <w:sz w:val="20"/>
        </w:rPr>
      </w:pPr>
      <w:r w:rsidRPr="00371682">
        <w:rPr>
          <w:color w:val="FFFFFF" w:themeColor="background1"/>
          <w:sz w:val="20"/>
        </w:rPr>
        <w:t xml:space="preserve">Le Groupement a été créé en 1961 par Raimond CASTAING sous forme d’une des commissions techniques de l’Association Nationale de la Recherche Technique sous la dénomination </w:t>
      </w:r>
      <w:r w:rsidR="00D926E5" w:rsidRPr="00371682">
        <w:rPr>
          <w:color w:val="FFFFFF" w:themeColor="background1"/>
          <w:sz w:val="20"/>
        </w:rPr>
        <w:t>« </w:t>
      </w:r>
      <w:r w:rsidRPr="00371682">
        <w:rPr>
          <w:color w:val="FFFFFF" w:themeColor="background1"/>
          <w:sz w:val="20"/>
        </w:rPr>
        <w:t>MICROSONDE</w:t>
      </w:r>
      <w:r w:rsidR="00D926E5" w:rsidRPr="00371682">
        <w:rPr>
          <w:color w:val="FFFFFF" w:themeColor="background1"/>
          <w:sz w:val="20"/>
        </w:rPr>
        <w:t> »</w:t>
      </w:r>
      <w:r w:rsidRPr="00371682">
        <w:rPr>
          <w:color w:val="FFFFFF" w:themeColor="background1"/>
          <w:sz w:val="20"/>
        </w:rPr>
        <w:t xml:space="preserve">. Ce Groupement réunissait les utilisateurs francophones de la </w:t>
      </w:r>
      <w:r w:rsidR="00D926E5" w:rsidRPr="00371682">
        <w:rPr>
          <w:color w:val="FFFFFF" w:themeColor="background1"/>
          <w:sz w:val="20"/>
        </w:rPr>
        <w:t>« </w:t>
      </w:r>
      <w:r w:rsidRPr="00371682">
        <w:rPr>
          <w:color w:val="FFFFFF" w:themeColor="background1"/>
          <w:sz w:val="20"/>
        </w:rPr>
        <w:t>microsonde électronique</w:t>
      </w:r>
      <w:r w:rsidR="00D926E5" w:rsidRPr="00371682">
        <w:rPr>
          <w:color w:val="FFFFFF" w:themeColor="background1"/>
          <w:sz w:val="20"/>
        </w:rPr>
        <w:t> »</w:t>
      </w:r>
      <w:r w:rsidRPr="00371682">
        <w:rPr>
          <w:color w:val="FFFFFF" w:themeColor="background1"/>
          <w:sz w:val="20"/>
        </w:rPr>
        <w:t xml:space="preserve">, plus connue en France comme </w:t>
      </w:r>
      <w:r w:rsidR="00D926E5" w:rsidRPr="00371682">
        <w:rPr>
          <w:color w:val="FFFFFF" w:themeColor="background1"/>
          <w:sz w:val="20"/>
        </w:rPr>
        <w:t>« </w:t>
      </w:r>
      <w:r w:rsidRPr="00371682">
        <w:rPr>
          <w:color w:val="FFFFFF" w:themeColor="background1"/>
          <w:sz w:val="20"/>
        </w:rPr>
        <w:t>microsonde de Castaing</w:t>
      </w:r>
      <w:r w:rsidR="00D926E5" w:rsidRPr="00371682">
        <w:rPr>
          <w:color w:val="FFFFFF" w:themeColor="background1"/>
          <w:sz w:val="20"/>
        </w:rPr>
        <w:t> »</w:t>
      </w:r>
      <w:r w:rsidRPr="00371682">
        <w:rPr>
          <w:color w:val="FFFFFF" w:themeColor="background1"/>
          <w:sz w:val="20"/>
        </w:rPr>
        <w:t xml:space="preserve"> du nom de son inventeur. Depuis lors, pour rendre compte de l’évolution des techniques et d’un élargissement de ses centres d’intérêt, le Groupement a été successivement rebaptisé </w:t>
      </w:r>
      <w:r w:rsidR="00D926E5" w:rsidRPr="00371682">
        <w:rPr>
          <w:color w:val="FFFFFF" w:themeColor="background1"/>
          <w:sz w:val="20"/>
        </w:rPr>
        <w:t>« </w:t>
      </w:r>
      <w:r w:rsidRPr="00371682">
        <w:rPr>
          <w:color w:val="FFFFFF" w:themeColor="background1"/>
          <w:sz w:val="20"/>
        </w:rPr>
        <w:t>MICROSONDE et MICROSCOPIE à BALAYAGE</w:t>
      </w:r>
      <w:r w:rsidR="00D926E5" w:rsidRPr="00371682">
        <w:rPr>
          <w:color w:val="FFFFFF" w:themeColor="background1"/>
          <w:sz w:val="20"/>
        </w:rPr>
        <w:t> » en 1975, puis « </w:t>
      </w:r>
      <w:r w:rsidRPr="00371682">
        <w:rPr>
          <w:color w:val="FFFFFF" w:themeColor="background1"/>
          <w:sz w:val="20"/>
        </w:rPr>
        <w:t>MICROAN</w:t>
      </w:r>
      <w:r w:rsidR="00D926E5" w:rsidRPr="00371682">
        <w:rPr>
          <w:color w:val="FFFFFF" w:themeColor="background1"/>
          <w:sz w:val="20"/>
        </w:rPr>
        <w:t>ALYSE et MICROSCOPIE à BALAYAGE », puis en 1997 « </w:t>
      </w:r>
      <w:r w:rsidRPr="00371682">
        <w:rPr>
          <w:color w:val="FFFFFF" w:themeColor="background1"/>
          <w:sz w:val="20"/>
        </w:rPr>
        <w:t>MICROSCOPIE ELECTRONI</w:t>
      </w:r>
      <w:r w:rsidR="00D926E5" w:rsidRPr="00371682">
        <w:rPr>
          <w:color w:val="FFFFFF" w:themeColor="background1"/>
          <w:sz w:val="20"/>
        </w:rPr>
        <w:t>QUE à BALAYAGE et MICROANALYSES »</w:t>
      </w:r>
      <w:r w:rsidRPr="00371682">
        <w:rPr>
          <w:color w:val="FFFFFF" w:themeColor="background1"/>
          <w:sz w:val="20"/>
        </w:rPr>
        <w:t xml:space="preserve">. Devenu indépendant en 2001 sous forme d’une association à caractère scientifique et à but non lucratif, il a pris le nom de Groupement National de Microscopie Electronique à Balayage et de </w:t>
      </w:r>
      <w:proofErr w:type="spellStart"/>
      <w:r w:rsidRPr="00371682">
        <w:rPr>
          <w:color w:val="FFFFFF" w:themeColor="background1"/>
          <w:sz w:val="20"/>
        </w:rPr>
        <w:t>microAnalyses</w:t>
      </w:r>
      <w:proofErr w:type="spellEnd"/>
      <w:r w:rsidRPr="00371682">
        <w:rPr>
          <w:color w:val="FFFFFF" w:themeColor="background1"/>
          <w:sz w:val="20"/>
        </w:rPr>
        <w:t>.</w:t>
      </w:r>
    </w:p>
    <w:p w14:paraId="6C4437CF" w14:textId="77777777" w:rsidR="00B51AD4" w:rsidRPr="00371682" w:rsidRDefault="00B51AD4" w:rsidP="00B51AD4">
      <w:pPr>
        <w:rPr>
          <w:color w:val="FFFFFF" w:themeColor="background1"/>
          <w:sz w:val="20"/>
        </w:rPr>
      </w:pPr>
      <w:r w:rsidRPr="00371682">
        <w:rPr>
          <w:color w:val="FFFFFF" w:themeColor="background1"/>
          <w:sz w:val="20"/>
        </w:rPr>
        <w:t>Suite à la signature d’une convention de coopération entre la Société Française de Physique et le GN-MEBA, tout membre cotisant du GN-MEBA est également membre de la SFP.</w:t>
      </w:r>
    </w:p>
    <w:p w14:paraId="101DF58A" w14:textId="77777777" w:rsidR="00B51AD4" w:rsidRPr="00371682" w:rsidRDefault="00B51AD4" w:rsidP="00B51AD4">
      <w:pPr>
        <w:rPr>
          <w:color w:val="FFFFFF" w:themeColor="background1"/>
          <w:sz w:val="20"/>
        </w:rPr>
      </w:pPr>
    </w:p>
    <w:p w14:paraId="686173FD" w14:textId="77777777" w:rsidR="00B51AD4" w:rsidRPr="00371682" w:rsidRDefault="00B51AD4" w:rsidP="00B51AD4">
      <w:pPr>
        <w:rPr>
          <w:color w:val="FFFFFF" w:themeColor="background1"/>
          <w:sz w:val="20"/>
        </w:rPr>
      </w:pPr>
      <w:r w:rsidRPr="00371682">
        <w:rPr>
          <w:color w:val="FFFFFF" w:themeColor="background1"/>
          <w:sz w:val="20"/>
        </w:rPr>
        <w:t>Le Groupement GN-MEBA compte environ 500 membres répartis dans près de 200 laboratoires.</w:t>
      </w:r>
    </w:p>
    <w:p w14:paraId="3E4C1BFE" w14:textId="77777777" w:rsidR="00B51AD4" w:rsidRPr="00371682" w:rsidRDefault="003619A0" w:rsidP="00B51AD4">
      <w:pPr>
        <w:rPr>
          <w:color w:val="025A7F" w:themeColor="accent1"/>
          <w:sz w:val="20"/>
        </w:rPr>
      </w:pPr>
      <w:hyperlink r:id="rId12" w:history="1">
        <w:r w:rsidR="00D926E5" w:rsidRPr="00371682">
          <w:rPr>
            <w:rStyle w:val="Lienhypertexte"/>
            <w:color w:val="025A7F" w:themeColor="accent1"/>
            <w:sz w:val="20"/>
          </w:rPr>
          <w:t>https://www.gn-meba.org</w:t>
        </w:r>
      </w:hyperlink>
    </w:p>
    <w:p w14:paraId="08DAB7C4" w14:textId="77777777" w:rsidR="00D926E5" w:rsidRPr="00371682" w:rsidRDefault="00D926E5" w:rsidP="00D926E5">
      <w:pPr>
        <w:rPr>
          <w:color w:val="FFFFFF" w:themeColor="background1"/>
        </w:rPr>
      </w:pPr>
      <w:r w:rsidRPr="00371682">
        <w:rPr>
          <w:color w:val="FFFFFF" w:themeColor="background1"/>
          <w:sz w:val="20"/>
        </w:rPr>
        <w:t xml:space="preserve">Pour une adhésion, consulter directement la page </w:t>
      </w:r>
      <w:hyperlink r:id="rId13" w:history="1">
        <w:r w:rsidRPr="00371682">
          <w:rPr>
            <w:rStyle w:val="Lienhypertexte"/>
            <w:color w:val="025A7F" w:themeColor="accent1"/>
            <w:sz w:val="20"/>
          </w:rPr>
          <w:t>https://gn-meba.org/adhesion.htm</w:t>
        </w:r>
      </w:hyperlink>
      <w:r w:rsidRPr="00371682">
        <w:rPr>
          <w:color w:val="025A7F" w:themeColor="accent1"/>
          <w:sz w:val="20"/>
        </w:rPr>
        <w:t xml:space="preserve"> </w:t>
      </w:r>
    </w:p>
    <w:p w14:paraId="49C8A189" w14:textId="77777777" w:rsidR="005D3DB0" w:rsidRDefault="005D3DB0" w:rsidP="00B51AD4">
      <w:pPr>
        <w:sectPr w:rsidR="005D3DB0" w:rsidSect="00B51AD4">
          <w:headerReference w:type="default" r:id="rId14"/>
          <w:pgSz w:w="16838" w:h="11906" w:orient="landscape"/>
          <w:pgMar w:top="397" w:right="397" w:bottom="397" w:left="397" w:header="284" w:footer="284" w:gutter="0"/>
          <w:cols w:num="3" w:space="708"/>
          <w:docGrid w:linePitch="360"/>
        </w:sectPr>
      </w:pPr>
    </w:p>
    <w:p w14:paraId="30E9DB9D" w14:textId="77777777" w:rsidR="00D3012F" w:rsidRDefault="00371682" w:rsidP="00D3012F"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73D13C" wp14:editId="312ECF94">
                <wp:simplePos x="0" y="0"/>
                <wp:positionH relativeFrom="column">
                  <wp:posOffset>-48895</wp:posOffset>
                </wp:positionH>
                <wp:positionV relativeFrom="paragraph">
                  <wp:posOffset>-23495</wp:posOffset>
                </wp:positionV>
                <wp:extent cx="10299700" cy="7112000"/>
                <wp:effectExtent l="0" t="0" r="6350" b="0"/>
                <wp:wrapNone/>
                <wp:docPr id="4" name="Organigramme : Entrée manue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0" cy="7112000"/>
                        </a:xfrm>
                        <a:prstGeom prst="flowChartManualInput">
                          <a:avLst/>
                        </a:prstGeom>
                        <a:solidFill>
                          <a:srgbClr val="E7F3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90375E" id="Organigramme : Entrée manuelle 4" o:spid="_x0000_s1026" type="#_x0000_t118" style="position:absolute;margin-left:-3.85pt;margin-top:-1.85pt;width:811pt;height:560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" fillcolor="#e7f3fa" stroked="f" strokeweight="1pt"/>
            </w:pict>
          </mc:Fallback>
        </mc:AlternateContent>
      </w:r>
    </w:p>
    <w:p w14:paraId="169ADD85" w14:textId="77777777" w:rsidR="00371682" w:rsidRDefault="00371682" w:rsidP="005D3DB0">
      <w:pPr>
        <w:pStyle w:val="Titre1"/>
      </w:pPr>
    </w:p>
    <w:p w14:paraId="4E30F5BB" w14:textId="77777777" w:rsidR="005D3DB0" w:rsidRPr="00371682" w:rsidRDefault="005D3DB0" w:rsidP="005D3DB0">
      <w:pPr>
        <w:pStyle w:val="Titre1"/>
        <w:rPr>
          <w:caps/>
        </w:rPr>
      </w:pPr>
      <w:r w:rsidRPr="00371682">
        <w:rPr>
          <w:caps/>
        </w:rPr>
        <w:t xml:space="preserve">Objectifs </w:t>
      </w:r>
    </w:p>
    <w:p w14:paraId="474FEC89" w14:textId="77777777" w:rsidR="00D3012F" w:rsidRPr="00D3012F" w:rsidRDefault="00D3012F" w:rsidP="00D3012F">
      <w:pPr>
        <w:rPr>
          <w:sz w:val="20"/>
        </w:rPr>
      </w:pPr>
    </w:p>
    <w:p w14:paraId="6032294C" w14:textId="77777777" w:rsidR="005D3DB0" w:rsidRDefault="005D3DB0" w:rsidP="005D3DB0">
      <w:pPr>
        <w:pStyle w:val="Paragraphedeliste"/>
        <w:numPr>
          <w:ilvl w:val="0"/>
          <w:numId w:val="12"/>
        </w:numPr>
        <w:ind w:left="284" w:hanging="284"/>
        <w:rPr>
          <w:sz w:val="20"/>
        </w:rPr>
      </w:pPr>
      <w:r w:rsidRPr="00D3012F">
        <w:rPr>
          <w:sz w:val="20"/>
        </w:rPr>
        <w:t>Favoriser les échanges entre utilisateurs de microscopie électronique</w:t>
      </w:r>
      <w:r w:rsidR="00D3012F">
        <w:rPr>
          <w:sz w:val="20"/>
        </w:rPr>
        <w:t xml:space="preserve"> à balayage et de microanalyses ;</w:t>
      </w:r>
    </w:p>
    <w:p w14:paraId="7F67272A" w14:textId="77777777" w:rsidR="00D3012F" w:rsidRPr="00D3012F" w:rsidRDefault="00D3012F" w:rsidP="00D3012F">
      <w:pPr>
        <w:rPr>
          <w:sz w:val="10"/>
          <w:szCs w:val="10"/>
        </w:rPr>
      </w:pPr>
    </w:p>
    <w:p w14:paraId="33567F4E" w14:textId="77777777" w:rsidR="005D3DB0" w:rsidRDefault="005D3DB0" w:rsidP="005D3DB0">
      <w:pPr>
        <w:pStyle w:val="Paragraphedeliste"/>
        <w:numPr>
          <w:ilvl w:val="0"/>
          <w:numId w:val="12"/>
        </w:numPr>
        <w:ind w:left="284" w:hanging="284"/>
        <w:rPr>
          <w:sz w:val="20"/>
        </w:rPr>
      </w:pPr>
      <w:r w:rsidRPr="00D3012F">
        <w:rPr>
          <w:sz w:val="20"/>
        </w:rPr>
        <w:t>Proposer et organiser la mise à jour des connaissances</w:t>
      </w:r>
      <w:r w:rsidR="00D3012F">
        <w:rPr>
          <w:sz w:val="20"/>
        </w:rPr>
        <w:t> ;</w:t>
      </w:r>
    </w:p>
    <w:p w14:paraId="185E8F5B" w14:textId="77777777" w:rsidR="00D3012F" w:rsidRPr="00D3012F" w:rsidRDefault="00D3012F" w:rsidP="00D3012F">
      <w:pPr>
        <w:rPr>
          <w:sz w:val="10"/>
          <w:szCs w:val="10"/>
        </w:rPr>
      </w:pPr>
    </w:p>
    <w:p w14:paraId="7EAE5C7D" w14:textId="77777777" w:rsidR="005D3DB0" w:rsidRDefault="005D3DB0" w:rsidP="005D3DB0">
      <w:pPr>
        <w:pStyle w:val="Paragraphedeliste"/>
        <w:numPr>
          <w:ilvl w:val="0"/>
          <w:numId w:val="12"/>
        </w:numPr>
        <w:ind w:left="284" w:hanging="284"/>
        <w:rPr>
          <w:sz w:val="20"/>
        </w:rPr>
      </w:pPr>
      <w:r w:rsidRPr="00D3012F">
        <w:rPr>
          <w:sz w:val="20"/>
        </w:rPr>
        <w:t>Suivre l’évolution des techniques connexes</w:t>
      </w:r>
      <w:r w:rsidR="00D3012F">
        <w:rPr>
          <w:sz w:val="20"/>
        </w:rPr>
        <w:t> ;</w:t>
      </w:r>
    </w:p>
    <w:p w14:paraId="021F1DBA" w14:textId="77777777" w:rsidR="00D3012F" w:rsidRPr="00D3012F" w:rsidRDefault="00D3012F" w:rsidP="00D3012F">
      <w:pPr>
        <w:rPr>
          <w:sz w:val="10"/>
          <w:szCs w:val="10"/>
        </w:rPr>
      </w:pPr>
    </w:p>
    <w:p w14:paraId="7EC414D9" w14:textId="77777777" w:rsidR="005D3DB0" w:rsidRDefault="005D3DB0" w:rsidP="005D3DB0">
      <w:pPr>
        <w:pStyle w:val="Paragraphedeliste"/>
        <w:numPr>
          <w:ilvl w:val="0"/>
          <w:numId w:val="12"/>
        </w:numPr>
        <w:ind w:left="284" w:hanging="284"/>
        <w:rPr>
          <w:sz w:val="20"/>
        </w:rPr>
      </w:pPr>
      <w:r w:rsidRPr="00D3012F">
        <w:rPr>
          <w:sz w:val="20"/>
        </w:rPr>
        <w:t>Diffuser l’information sur l’évolution des techn</w:t>
      </w:r>
      <w:r w:rsidR="00D3012F">
        <w:rPr>
          <w:sz w:val="20"/>
        </w:rPr>
        <w:t>iques aux membres du Groupement ;</w:t>
      </w:r>
      <w:r w:rsidR="00371682" w:rsidRPr="00371682">
        <w:rPr>
          <w:noProof/>
          <w:sz w:val="20"/>
          <w:lang w:eastAsia="fr-FR"/>
        </w:rPr>
        <w:t xml:space="preserve"> </w:t>
      </w:r>
    </w:p>
    <w:p w14:paraId="4360D673" w14:textId="77777777" w:rsidR="00D3012F" w:rsidRPr="00D3012F" w:rsidRDefault="00D3012F" w:rsidP="00D3012F">
      <w:pPr>
        <w:rPr>
          <w:sz w:val="10"/>
          <w:szCs w:val="10"/>
        </w:rPr>
      </w:pPr>
    </w:p>
    <w:p w14:paraId="750FCFDE" w14:textId="77777777" w:rsidR="005D3DB0" w:rsidRPr="00D3012F" w:rsidRDefault="005D3DB0" w:rsidP="005D3DB0">
      <w:pPr>
        <w:pStyle w:val="Paragraphedeliste"/>
        <w:numPr>
          <w:ilvl w:val="0"/>
          <w:numId w:val="12"/>
        </w:numPr>
        <w:ind w:left="284" w:hanging="284"/>
        <w:rPr>
          <w:sz w:val="20"/>
        </w:rPr>
      </w:pPr>
      <w:r w:rsidRPr="00D3012F">
        <w:rPr>
          <w:sz w:val="20"/>
        </w:rPr>
        <w:t>Faciliter les relations entre utilisateurs et constructeurs.</w:t>
      </w:r>
    </w:p>
    <w:p w14:paraId="7AA66C89" w14:textId="77777777" w:rsidR="005D3DB0" w:rsidRPr="00D3012F" w:rsidRDefault="005D3DB0" w:rsidP="005D3DB0">
      <w:pPr>
        <w:rPr>
          <w:sz w:val="20"/>
        </w:rPr>
      </w:pPr>
    </w:p>
    <w:p w14:paraId="5D9EAB65" w14:textId="77777777" w:rsidR="005D3DB0" w:rsidRDefault="006E4A60" w:rsidP="006E4A60">
      <w:pPr>
        <w:jc w:val="center"/>
        <w:rPr>
          <w:sz w:val="20"/>
        </w:rPr>
      </w:pPr>
      <w:r w:rsidRPr="006E4A60">
        <w:rPr>
          <w:noProof/>
          <w:lang w:eastAsia="fr-FR"/>
        </w:rPr>
        <w:drawing>
          <wp:inline distT="0" distB="0" distL="0" distR="0" wp14:anchorId="6BDE2014" wp14:editId="43818BC3">
            <wp:extent cx="3132000" cy="723346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2000" cy="72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223A0" w14:textId="77777777" w:rsidR="006E4A60" w:rsidRPr="00D3012F" w:rsidRDefault="006E4A60" w:rsidP="005D3DB0">
      <w:pPr>
        <w:rPr>
          <w:sz w:val="20"/>
        </w:rPr>
      </w:pPr>
    </w:p>
    <w:p w14:paraId="57BD741C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>GN-MEBA – SFP</w:t>
      </w:r>
    </w:p>
    <w:p w14:paraId="1A1C3ED9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 xml:space="preserve">33, rue </w:t>
      </w:r>
      <w:proofErr w:type="spellStart"/>
      <w:r w:rsidRPr="00D3012F">
        <w:rPr>
          <w:sz w:val="20"/>
        </w:rPr>
        <w:t>Croulebarbe</w:t>
      </w:r>
      <w:proofErr w:type="spellEnd"/>
    </w:p>
    <w:p w14:paraId="48A3DB28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>75013 PARIS</w:t>
      </w:r>
    </w:p>
    <w:p w14:paraId="511B5C94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>postmaster@gn-meba.org</w:t>
      </w:r>
    </w:p>
    <w:p w14:paraId="21BB8BCF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>Association loi de 1901</w:t>
      </w:r>
    </w:p>
    <w:p w14:paraId="32EF4936" w14:textId="77777777" w:rsidR="005D3DB0" w:rsidRPr="00D3012F" w:rsidRDefault="005D3DB0" w:rsidP="005D3DB0">
      <w:pPr>
        <w:jc w:val="center"/>
        <w:rPr>
          <w:sz w:val="20"/>
        </w:rPr>
      </w:pPr>
      <w:r w:rsidRPr="00D3012F">
        <w:rPr>
          <w:sz w:val="20"/>
        </w:rPr>
        <w:t>SIRET 442 011 854 00027</w:t>
      </w:r>
    </w:p>
    <w:p w14:paraId="20D85B42" w14:textId="77777777" w:rsidR="005D3DB0" w:rsidRDefault="005D3DB0" w:rsidP="005D3DB0"/>
    <w:p w14:paraId="2731C71F" w14:textId="77777777" w:rsidR="005D3DB0" w:rsidRPr="00E47C2E" w:rsidRDefault="005D3DB0" w:rsidP="005D3DB0">
      <w:pPr>
        <w:rPr>
          <w:sz w:val="2"/>
          <w:szCs w:val="2"/>
        </w:rPr>
      </w:pPr>
      <w:r>
        <w:br w:type="column"/>
      </w:r>
    </w:p>
    <w:p w14:paraId="3BB0C96D" w14:textId="77777777" w:rsidR="005D3DB0" w:rsidRDefault="005D3DB0" w:rsidP="005D3DB0">
      <w:pPr>
        <w:pStyle w:val="Titre1"/>
        <w:rPr>
          <w:caps/>
        </w:rPr>
      </w:pPr>
      <w:r w:rsidRPr="00371682">
        <w:rPr>
          <w:caps/>
        </w:rPr>
        <w:t xml:space="preserve">Activités </w:t>
      </w:r>
    </w:p>
    <w:p w14:paraId="082C3A49" w14:textId="77777777" w:rsidR="00371682" w:rsidRPr="00371682" w:rsidRDefault="00371682" w:rsidP="00371682"/>
    <w:p w14:paraId="23C4B446" w14:textId="77777777" w:rsidR="005D3DB0" w:rsidRDefault="005D3DB0" w:rsidP="005D3DB0">
      <w:pPr>
        <w:pStyle w:val="Titre2"/>
      </w:pPr>
      <w:r>
        <w:t>RÉUNIONS ANNUELLES</w:t>
      </w:r>
    </w:p>
    <w:p w14:paraId="4C44AC48" w14:textId="77777777" w:rsidR="00D3012F" w:rsidRPr="00D3012F" w:rsidRDefault="00D3012F" w:rsidP="00D3012F"/>
    <w:p w14:paraId="0192319C" w14:textId="697E819D" w:rsidR="005D3DB0" w:rsidRDefault="005D3DB0" w:rsidP="00D3012F">
      <w:pPr>
        <w:pStyle w:val="Paragraphedeliste"/>
        <w:numPr>
          <w:ilvl w:val="0"/>
          <w:numId w:val="15"/>
        </w:numPr>
        <w:ind w:left="284" w:hanging="284"/>
        <w:rPr>
          <w:sz w:val="20"/>
        </w:rPr>
      </w:pPr>
      <w:r w:rsidRPr="00D3012F">
        <w:rPr>
          <w:sz w:val="20"/>
        </w:rPr>
        <w:t xml:space="preserve">Une réunion de type pédagogique, faisant une large part aux aspects pratiques, est organisée sur 2 jours, généralement en décembre, à Paris. Des stands constructeurs sont présents </w:t>
      </w:r>
      <w:r w:rsidR="00BF6D82">
        <w:rPr>
          <w:sz w:val="20"/>
        </w:rPr>
        <w:t xml:space="preserve">durant </w:t>
      </w:r>
      <w:r w:rsidRPr="00D3012F">
        <w:rPr>
          <w:sz w:val="20"/>
        </w:rPr>
        <w:t xml:space="preserve">une partie de la </w:t>
      </w:r>
      <w:r w:rsidR="00BF6D82">
        <w:rPr>
          <w:sz w:val="20"/>
        </w:rPr>
        <w:t xml:space="preserve">seconde </w:t>
      </w:r>
      <w:r w:rsidRPr="00D3012F">
        <w:rPr>
          <w:sz w:val="20"/>
        </w:rPr>
        <w:t>journée.</w:t>
      </w:r>
    </w:p>
    <w:p w14:paraId="6085CCEA" w14:textId="77777777" w:rsidR="00D3012F" w:rsidRPr="00D3012F" w:rsidRDefault="00D3012F" w:rsidP="00D3012F">
      <w:pPr>
        <w:rPr>
          <w:sz w:val="10"/>
          <w:szCs w:val="10"/>
        </w:rPr>
      </w:pPr>
    </w:p>
    <w:p w14:paraId="08132366" w14:textId="4170E955" w:rsidR="005D3DB0" w:rsidRPr="00D3012F" w:rsidRDefault="005A1DE1" w:rsidP="00D3012F">
      <w:pPr>
        <w:pStyle w:val="Paragraphedeliste"/>
        <w:numPr>
          <w:ilvl w:val="0"/>
          <w:numId w:val="15"/>
        </w:numPr>
        <w:ind w:left="284" w:hanging="284"/>
        <w:rPr>
          <w:sz w:val="20"/>
        </w:rPr>
      </w:pPr>
      <w:r>
        <w:rPr>
          <w:sz w:val="20"/>
        </w:rPr>
        <w:t xml:space="preserve">Des </w:t>
      </w:r>
      <w:r w:rsidR="005D3DB0" w:rsidRPr="00D3012F">
        <w:rPr>
          <w:sz w:val="20"/>
        </w:rPr>
        <w:t>réunion</w:t>
      </w:r>
      <w:r>
        <w:rPr>
          <w:sz w:val="20"/>
        </w:rPr>
        <w:t>s ou actions</w:t>
      </w:r>
      <w:r w:rsidR="005D3DB0" w:rsidRPr="00D3012F">
        <w:rPr>
          <w:sz w:val="20"/>
        </w:rPr>
        <w:t xml:space="preserve"> thématique</w:t>
      </w:r>
      <w:r>
        <w:rPr>
          <w:sz w:val="20"/>
        </w:rPr>
        <w:t>s</w:t>
      </w:r>
      <w:r w:rsidR="005D3DB0" w:rsidRPr="00D3012F">
        <w:rPr>
          <w:sz w:val="20"/>
        </w:rPr>
        <w:t xml:space="preserve"> </w:t>
      </w:r>
      <w:r>
        <w:rPr>
          <w:sz w:val="20"/>
        </w:rPr>
        <w:t xml:space="preserve">peuvent être </w:t>
      </w:r>
      <w:r w:rsidR="005D3DB0" w:rsidRPr="00D3012F">
        <w:rPr>
          <w:sz w:val="20"/>
        </w:rPr>
        <w:t>organisée</w:t>
      </w:r>
      <w:r w:rsidR="00BF6D82">
        <w:rPr>
          <w:sz w:val="20"/>
        </w:rPr>
        <w:t>s</w:t>
      </w:r>
      <w:r>
        <w:rPr>
          <w:sz w:val="20"/>
        </w:rPr>
        <w:t xml:space="preserve"> de temps à autre</w:t>
      </w:r>
      <w:r w:rsidR="005D3DB0" w:rsidRPr="00D3012F">
        <w:rPr>
          <w:sz w:val="20"/>
        </w:rPr>
        <w:t xml:space="preserve">, </w:t>
      </w:r>
      <w:r w:rsidR="00BF6D82">
        <w:rPr>
          <w:sz w:val="20"/>
        </w:rPr>
        <w:t>au printemps.</w:t>
      </w:r>
    </w:p>
    <w:p w14:paraId="6141BEB1" w14:textId="77777777" w:rsidR="005D3DB0" w:rsidRDefault="005D3DB0" w:rsidP="005D3DB0">
      <w:pPr>
        <w:rPr>
          <w:sz w:val="20"/>
        </w:rPr>
      </w:pPr>
    </w:p>
    <w:p w14:paraId="323D86CF" w14:textId="77777777" w:rsidR="00E47C2E" w:rsidRPr="00D3012F" w:rsidRDefault="00E47C2E" w:rsidP="005D3DB0">
      <w:pPr>
        <w:rPr>
          <w:sz w:val="20"/>
        </w:rPr>
      </w:pPr>
    </w:p>
    <w:p w14:paraId="7D698C5C" w14:textId="77777777" w:rsidR="005D3DB0" w:rsidRDefault="005D3DB0" w:rsidP="005D3DB0">
      <w:pPr>
        <w:pStyle w:val="Titre2"/>
      </w:pPr>
      <w:r>
        <w:t>ECOLES D’ÉTÉ</w:t>
      </w:r>
    </w:p>
    <w:p w14:paraId="553AAB78" w14:textId="77777777" w:rsidR="00D3012F" w:rsidRPr="00D3012F" w:rsidRDefault="00D3012F" w:rsidP="00D3012F">
      <w:pPr>
        <w:rPr>
          <w:sz w:val="20"/>
        </w:rPr>
      </w:pPr>
    </w:p>
    <w:p w14:paraId="46D0F2C9" w14:textId="012F8568" w:rsidR="005D3DB0" w:rsidRDefault="005D3DB0" w:rsidP="005D3DB0">
      <w:pPr>
        <w:rPr>
          <w:sz w:val="20"/>
        </w:rPr>
      </w:pPr>
      <w:r w:rsidRPr="00D3012F">
        <w:rPr>
          <w:sz w:val="20"/>
        </w:rPr>
        <w:t>Des Ecoles d’Eté</w:t>
      </w:r>
      <w:r w:rsidR="00BF6D82">
        <w:rPr>
          <w:sz w:val="20"/>
        </w:rPr>
        <w:t>,</w:t>
      </w:r>
      <w:r w:rsidRPr="00D3012F">
        <w:rPr>
          <w:sz w:val="20"/>
        </w:rPr>
        <w:t xml:space="preserve"> d’une durée de 1 </w:t>
      </w:r>
      <w:r w:rsidR="00D3012F">
        <w:rPr>
          <w:sz w:val="20"/>
        </w:rPr>
        <w:t>semaine</w:t>
      </w:r>
      <w:r w:rsidRPr="00D3012F">
        <w:rPr>
          <w:sz w:val="20"/>
        </w:rPr>
        <w:t xml:space="preserve">, </w:t>
      </w:r>
      <w:r w:rsidR="00BF6D82">
        <w:rPr>
          <w:sz w:val="20"/>
        </w:rPr>
        <w:t xml:space="preserve">et </w:t>
      </w:r>
      <w:r w:rsidRPr="00D3012F">
        <w:rPr>
          <w:sz w:val="20"/>
        </w:rPr>
        <w:t xml:space="preserve">destinées à tout utilisateur (débutant ou confirmé) </w:t>
      </w:r>
      <w:r w:rsidR="00BF6D82">
        <w:rPr>
          <w:sz w:val="20"/>
        </w:rPr>
        <w:t>en</w:t>
      </w:r>
      <w:r w:rsidRPr="00D3012F">
        <w:rPr>
          <w:sz w:val="20"/>
        </w:rPr>
        <w:t xml:space="preserve"> microscopie électronique à balayage, microanalyse X et techniques annexes, sont organisées par le Groupement. </w:t>
      </w:r>
    </w:p>
    <w:p w14:paraId="58FEDAD7" w14:textId="77777777" w:rsidR="00D3012F" w:rsidRPr="00D3012F" w:rsidRDefault="00D3012F" w:rsidP="005D3DB0">
      <w:pPr>
        <w:rPr>
          <w:sz w:val="20"/>
        </w:rPr>
      </w:pPr>
    </w:p>
    <w:p w14:paraId="441E516F" w14:textId="707573B6" w:rsidR="005D3DB0" w:rsidRDefault="005D3DB0" w:rsidP="005D3DB0">
      <w:pPr>
        <w:rPr>
          <w:sz w:val="20"/>
        </w:rPr>
      </w:pPr>
      <w:r w:rsidRPr="00D3012F">
        <w:rPr>
          <w:sz w:val="20"/>
        </w:rPr>
        <w:t>Celles proposées jusqu'à ce jour (St Martin d’Hères en 1978, Toulouse en 1990, Louvain-la-Neuve en 1996, Montpellier en 2001, St Martin d’Hères en 2006, Villeneuve d’Ascq en 2012, Bordeaux en 2017 et Nancy en 2024) ont réuni un public important</w:t>
      </w:r>
      <w:r w:rsidR="00BF6D82">
        <w:rPr>
          <w:sz w:val="20"/>
        </w:rPr>
        <w:t xml:space="preserve"> (participants et fournisseurs de matériels)</w:t>
      </w:r>
      <w:r w:rsidRPr="00D3012F">
        <w:rPr>
          <w:sz w:val="20"/>
        </w:rPr>
        <w:t xml:space="preserve">. </w:t>
      </w:r>
    </w:p>
    <w:p w14:paraId="5A26D54E" w14:textId="77777777" w:rsidR="00D3012F" w:rsidRPr="00D3012F" w:rsidRDefault="00D3012F" w:rsidP="005D3DB0">
      <w:pPr>
        <w:rPr>
          <w:sz w:val="20"/>
        </w:rPr>
      </w:pPr>
    </w:p>
    <w:p w14:paraId="1ED20434" w14:textId="77777777" w:rsidR="005D3DB0" w:rsidRPr="00D3012F" w:rsidRDefault="005D3DB0" w:rsidP="005D3DB0">
      <w:pPr>
        <w:rPr>
          <w:sz w:val="20"/>
        </w:rPr>
      </w:pPr>
      <w:r w:rsidRPr="00D3012F">
        <w:rPr>
          <w:sz w:val="20"/>
        </w:rPr>
        <w:t xml:space="preserve">En complément aux cours théoriques, les participants </w:t>
      </w:r>
      <w:r w:rsidR="005A1DE1">
        <w:rPr>
          <w:sz w:val="20"/>
        </w:rPr>
        <w:t>assistent à des ateliers thématiques sur</w:t>
      </w:r>
      <w:r w:rsidRPr="00D3012F">
        <w:rPr>
          <w:sz w:val="20"/>
        </w:rPr>
        <w:t xml:space="preserve"> les appareils mis à leur disposition par le laboratoire d’accueil et par les constructeurs.</w:t>
      </w:r>
    </w:p>
    <w:p w14:paraId="79F803D2" w14:textId="77777777" w:rsidR="005D3DB0" w:rsidRDefault="005D3DB0" w:rsidP="005D3DB0">
      <w:r>
        <w:br w:type="column"/>
      </w:r>
    </w:p>
    <w:p w14:paraId="3AB793B0" w14:textId="77777777" w:rsidR="005D3DB0" w:rsidRDefault="005D3DB0" w:rsidP="00E4120E">
      <w:pPr>
        <w:pStyle w:val="Titre2"/>
        <w:spacing w:before="320"/>
        <w:jc w:val="left"/>
      </w:pPr>
      <w:r>
        <w:t>ECHANGES ET MISES Á JOUR TECHNIQUES</w:t>
      </w:r>
    </w:p>
    <w:p w14:paraId="2FA99F47" w14:textId="77777777" w:rsidR="00D3012F" w:rsidRPr="00D3012F" w:rsidRDefault="00D3012F" w:rsidP="00D3012F"/>
    <w:p w14:paraId="1950468E" w14:textId="77777777" w:rsidR="005D3DB0" w:rsidRDefault="005D3DB0" w:rsidP="005D3DB0">
      <w:pPr>
        <w:pStyle w:val="Paragraphedeliste"/>
        <w:numPr>
          <w:ilvl w:val="0"/>
          <w:numId w:val="13"/>
        </w:numPr>
        <w:ind w:left="284" w:hanging="284"/>
        <w:rPr>
          <w:sz w:val="20"/>
        </w:rPr>
      </w:pPr>
      <w:r w:rsidRPr="00D3012F">
        <w:rPr>
          <w:sz w:val="20"/>
        </w:rPr>
        <w:t>Selon les disponibilités, des échantillons tests sont proposés aux adhérents du Groupement. La synthèse des résultats est présentée, de façon anony</w:t>
      </w:r>
      <w:r w:rsidR="00D3012F">
        <w:rPr>
          <w:sz w:val="20"/>
        </w:rPr>
        <w:t>me, lors des réunions annuelles ;</w:t>
      </w:r>
    </w:p>
    <w:p w14:paraId="37AF6E4F" w14:textId="77777777" w:rsidR="00D3012F" w:rsidRPr="00D3012F" w:rsidRDefault="00D3012F" w:rsidP="00D3012F">
      <w:pPr>
        <w:rPr>
          <w:sz w:val="10"/>
          <w:szCs w:val="10"/>
        </w:rPr>
      </w:pPr>
    </w:p>
    <w:p w14:paraId="6027936E" w14:textId="77777777" w:rsidR="005D3DB0" w:rsidRDefault="005D3DB0" w:rsidP="005D3DB0">
      <w:pPr>
        <w:pStyle w:val="Paragraphedeliste"/>
        <w:numPr>
          <w:ilvl w:val="0"/>
          <w:numId w:val="13"/>
        </w:numPr>
        <w:ind w:left="284" w:hanging="284"/>
        <w:rPr>
          <w:sz w:val="20"/>
        </w:rPr>
      </w:pPr>
      <w:r w:rsidRPr="00D3012F">
        <w:rPr>
          <w:sz w:val="20"/>
        </w:rPr>
        <w:t>Le Groupement fa</w:t>
      </w:r>
      <w:r w:rsidR="00E4120E">
        <w:rPr>
          <w:sz w:val="20"/>
        </w:rPr>
        <w:t>vorise les échanges techniques :</w:t>
      </w:r>
      <w:r w:rsidRPr="00D3012F">
        <w:rPr>
          <w:sz w:val="20"/>
        </w:rPr>
        <w:t xml:space="preserve"> témoins, logiciels, bibliographie, données physiques</w:t>
      </w:r>
      <w:r w:rsidR="00D3012F">
        <w:rPr>
          <w:sz w:val="20"/>
        </w:rPr>
        <w:t>, etc. ;</w:t>
      </w:r>
    </w:p>
    <w:p w14:paraId="694FCEC8" w14:textId="77777777" w:rsidR="00D3012F" w:rsidRPr="00D3012F" w:rsidRDefault="00D3012F" w:rsidP="00D3012F">
      <w:pPr>
        <w:rPr>
          <w:sz w:val="10"/>
          <w:szCs w:val="10"/>
        </w:rPr>
      </w:pPr>
    </w:p>
    <w:p w14:paraId="35BCB71B" w14:textId="77777777" w:rsidR="005D3DB0" w:rsidRDefault="005D3DB0" w:rsidP="005D3DB0">
      <w:pPr>
        <w:pStyle w:val="Paragraphedeliste"/>
        <w:numPr>
          <w:ilvl w:val="0"/>
          <w:numId w:val="13"/>
        </w:numPr>
        <w:ind w:left="284" w:hanging="284"/>
        <w:rPr>
          <w:sz w:val="20"/>
        </w:rPr>
      </w:pPr>
      <w:r w:rsidRPr="00D3012F">
        <w:rPr>
          <w:sz w:val="20"/>
        </w:rPr>
        <w:t>Enquête sur le parc des microscopes électroniques à balayage et des appareils associés</w:t>
      </w:r>
      <w:r w:rsidR="00D3012F">
        <w:rPr>
          <w:sz w:val="20"/>
        </w:rPr>
        <w:t> ;</w:t>
      </w:r>
    </w:p>
    <w:p w14:paraId="23C96898" w14:textId="77777777" w:rsidR="00D3012F" w:rsidRPr="00D3012F" w:rsidRDefault="00D3012F" w:rsidP="00D3012F">
      <w:pPr>
        <w:rPr>
          <w:sz w:val="10"/>
          <w:szCs w:val="10"/>
        </w:rPr>
      </w:pPr>
    </w:p>
    <w:p w14:paraId="00BE4446" w14:textId="77777777" w:rsidR="005D3DB0" w:rsidRDefault="005D3DB0" w:rsidP="005D3DB0">
      <w:pPr>
        <w:pStyle w:val="Paragraphedeliste"/>
        <w:numPr>
          <w:ilvl w:val="0"/>
          <w:numId w:val="13"/>
        </w:numPr>
        <w:ind w:left="284" w:hanging="284"/>
        <w:rPr>
          <w:sz w:val="20"/>
        </w:rPr>
      </w:pPr>
      <w:r w:rsidRPr="00D3012F">
        <w:rPr>
          <w:sz w:val="20"/>
        </w:rPr>
        <w:t>Bourse d’emploi</w:t>
      </w:r>
      <w:r w:rsidR="00D3012F">
        <w:rPr>
          <w:sz w:val="20"/>
        </w:rPr>
        <w:t> ;</w:t>
      </w:r>
    </w:p>
    <w:p w14:paraId="1E4DD59F" w14:textId="77777777" w:rsidR="00D3012F" w:rsidRPr="00D3012F" w:rsidRDefault="00D3012F" w:rsidP="00D3012F">
      <w:pPr>
        <w:rPr>
          <w:sz w:val="10"/>
          <w:szCs w:val="10"/>
        </w:rPr>
      </w:pPr>
    </w:p>
    <w:p w14:paraId="2B090457" w14:textId="77777777" w:rsidR="005D3DB0" w:rsidRPr="00D3012F" w:rsidRDefault="005D3DB0" w:rsidP="005D3DB0">
      <w:pPr>
        <w:pStyle w:val="Paragraphedeliste"/>
        <w:numPr>
          <w:ilvl w:val="0"/>
          <w:numId w:val="13"/>
        </w:numPr>
        <w:ind w:left="284" w:hanging="284"/>
        <w:rPr>
          <w:sz w:val="20"/>
        </w:rPr>
      </w:pPr>
      <w:r w:rsidRPr="00D3012F">
        <w:rPr>
          <w:sz w:val="20"/>
        </w:rPr>
        <w:t>Matériel d’occasion</w:t>
      </w:r>
      <w:r w:rsidR="00D3012F">
        <w:rPr>
          <w:sz w:val="20"/>
        </w:rPr>
        <w:t>.</w:t>
      </w:r>
    </w:p>
    <w:p w14:paraId="13F838D7" w14:textId="77777777" w:rsidR="005D3DB0" w:rsidRDefault="005D3DB0" w:rsidP="005D3DB0"/>
    <w:p w14:paraId="34A946EB" w14:textId="77777777" w:rsidR="00E47C2E" w:rsidRDefault="00E47C2E" w:rsidP="005D3DB0">
      <w:bookmarkStart w:id="0" w:name="_GoBack"/>
      <w:bookmarkEnd w:id="0"/>
    </w:p>
    <w:p w14:paraId="5D12670B" w14:textId="77777777" w:rsidR="005D3DB0" w:rsidRDefault="005D3DB0" w:rsidP="00E4120E">
      <w:pPr>
        <w:pStyle w:val="Titre2"/>
        <w:jc w:val="left"/>
      </w:pPr>
      <w:r>
        <w:t>EDITIONS D’OUVRAGES ET DIFFUSION ÉCRITE</w:t>
      </w:r>
    </w:p>
    <w:p w14:paraId="26080600" w14:textId="77777777" w:rsidR="00D3012F" w:rsidRPr="00D3012F" w:rsidRDefault="00D3012F" w:rsidP="00D3012F"/>
    <w:p w14:paraId="1CDAE680" w14:textId="6B25C3EF" w:rsidR="005D3DB0" w:rsidRDefault="005D3DB0" w:rsidP="00D3012F">
      <w:pPr>
        <w:pStyle w:val="Paragraphedeliste"/>
        <w:numPr>
          <w:ilvl w:val="0"/>
          <w:numId w:val="14"/>
        </w:numPr>
        <w:ind w:left="284" w:hanging="295"/>
        <w:rPr>
          <w:sz w:val="20"/>
        </w:rPr>
      </w:pPr>
      <w:r w:rsidRPr="00D3012F">
        <w:rPr>
          <w:sz w:val="20"/>
        </w:rPr>
        <w:t xml:space="preserve">Les réunions pédagogiques donnent </w:t>
      </w:r>
      <w:r w:rsidR="00BF6D82">
        <w:rPr>
          <w:sz w:val="20"/>
        </w:rPr>
        <w:t>régulièrement</w:t>
      </w:r>
      <w:r w:rsidRPr="00D3012F">
        <w:rPr>
          <w:sz w:val="20"/>
        </w:rPr>
        <w:t xml:space="preserve"> lieu à l’é</w:t>
      </w:r>
      <w:r w:rsidR="00D3012F">
        <w:rPr>
          <w:sz w:val="20"/>
        </w:rPr>
        <w:t>dition d’un ouvrage en français ;</w:t>
      </w:r>
    </w:p>
    <w:p w14:paraId="14C96E55" w14:textId="77777777" w:rsidR="00D3012F" w:rsidRPr="00D3012F" w:rsidRDefault="00D3012F" w:rsidP="00D3012F">
      <w:pPr>
        <w:rPr>
          <w:sz w:val="10"/>
          <w:szCs w:val="10"/>
        </w:rPr>
      </w:pPr>
    </w:p>
    <w:p w14:paraId="0E9A5E57" w14:textId="77777777" w:rsidR="005D3DB0" w:rsidRDefault="005D3DB0" w:rsidP="00D3012F">
      <w:pPr>
        <w:pStyle w:val="Paragraphedeliste"/>
        <w:numPr>
          <w:ilvl w:val="0"/>
          <w:numId w:val="14"/>
        </w:numPr>
        <w:ind w:left="284" w:hanging="295"/>
        <w:rPr>
          <w:sz w:val="20"/>
        </w:rPr>
      </w:pPr>
      <w:r w:rsidRPr="00D3012F">
        <w:rPr>
          <w:sz w:val="20"/>
        </w:rPr>
        <w:t xml:space="preserve">Les résumés des conférences données lors des réunions pédagogiques et thématiques sont diffusés aux </w:t>
      </w:r>
      <w:r w:rsidR="00D3012F">
        <w:rPr>
          <w:sz w:val="20"/>
        </w:rPr>
        <w:t>membres cotisants du Groupement ;</w:t>
      </w:r>
    </w:p>
    <w:p w14:paraId="5321F091" w14:textId="77777777" w:rsidR="00D3012F" w:rsidRPr="00D3012F" w:rsidRDefault="00D3012F" w:rsidP="00D3012F">
      <w:pPr>
        <w:rPr>
          <w:sz w:val="10"/>
          <w:szCs w:val="10"/>
        </w:rPr>
      </w:pPr>
    </w:p>
    <w:p w14:paraId="5816D705" w14:textId="77777777" w:rsidR="00E47C2E" w:rsidRDefault="005D3DB0" w:rsidP="00E47C2E">
      <w:pPr>
        <w:pStyle w:val="Paragraphedeliste"/>
        <w:numPr>
          <w:ilvl w:val="0"/>
          <w:numId w:val="14"/>
        </w:numPr>
        <w:ind w:left="284" w:hanging="284"/>
        <w:rPr>
          <w:sz w:val="20"/>
        </w:rPr>
      </w:pPr>
      <w:r w:rsidRPr="00D3012F">
        <w:rPr>
          <w:sz w:val="20"/>
        </w:rPr>
        <w:t xml:space="preserve">Tout membre cotisant du groupement </w:t>
      </w:r>
      <w:r w:rsidR="00E47C2E">
        <w:rPr>
          <w:sz w:val="20"/>
        </w:rPr>
        <w:t>peut être</w:t>
      </w:r>
      <w:r w:rsidRPr="00D3012F">
        <w:rPr>
          <w:sz w:val="20"/>
        </w:rPr>
        <w:t xml:space="preserve"> membre de la SFP</w:t>
      </w:r>
      <w:r w:rsidR="00E47C2E">
        <w:rPr>
          <w:sz w:val="20"/>
        </w:rPr>
        <w:t xml:space="preserve"> s’il le souhaite et pourra</w:t>
      </w:r>
      <w:r w:rsidRPr="00D3012F">
        <w:rPr>
          <w:sz w:val="20"/>
        </w:rPr>
        <w:t xml:space="preserve">, à ce titre, </w:t>
      </w:r>
      <w:r w:rsidR="00E47C2E">
        <w:rPr>
          <w:sz w:val="20"/>
        </w:rPr>
        <w:t>avoir accès à l’espace adhérent du site de la SFP (</w:t>
      </w:r>
      <w:hyperlink r:id="rId16" w:history="1">
        <w:r w:rsidR="00E47C2E" w:rsidRPr="008840EE">
          <w:rPr>
            <w:rStyle w:val="Lienhypertexte"/>
            <w:sz w:val="20"/>
          </w:rPr>
          <w:t>www.sfphysique.fr</w:t>
        </w:r>
      </w:hyperlink>
      <w:r w:rsidR="00E47C2E">
        <w:rPr>
          <w:sz w:val="20"/>
        </w:rPr>
        <w:t>)</w:t>
      </w:r>
    </w:p>
    <w:p w14:paraId="7F43CDAE" w14:textId="77777777" w:rsidR="005D3DB0" w:rsidRPr="00D3012F" w:rsidRDefault="005D3DB0" w:rsidP="005D3DB0">
      <w:pPr>
        <w:rPr>
          <w:sz w:val="20"/>
        </w:rPr>
      </w:pPr>
    </w:p>
    <w:sectPr w:rsidR="005D3DB0" w:rsidRPr="00D3012F" w:rsidSect="00B51AD4">
      <w:pgSz w:w="16838" w:h="11906" w:orient="landscape"/>
      <w:pgMar w:top="397" w:right="397" w:bottom="397" w:left="397" w:header="284" w:footer="28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60813" w14:textId="77777777" w:rsidR="004C424D" w:rsidRDefault="004C424D" w:rsidP="004A521D">
      <w:pPr>
        <w:spacing w:after="0"/>
      </w:pPr>
      <w:r>
        <w:separator/>
      </w:r>
    </w:p>
  </w:endnote>
  <w:endnote w:type="continuationSeparator" w:id="0">
    <w:p w14:paraId="77A08863" w14:textId="77777777" w:rsidR="004C424D" w:rsidRDefault="004C424D" w:rsidP="004A52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Expletus Sans Medium">
    <w:panose1 w:val="00000000000000000000"/>
    <w:charset w:val="00"/>
    <w:family w:val="auto"/>
    <w:pitch w:val="variable"/>
    <w:sig w:usb0="800000EF" w:usb1="00000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9129C" w14:textId="77777777" w:rsidR="004C424D" w:rsidRDefault="004C424D" w:rsidP="004A521D">
      <w:pPr>
        <w:spacing w:after="0"/>
      </w:pPr>
      <w:r>
        <w:separator/>
      </w:r>
    </w:p>
  </w:footnote>
  <w:footnote w:type="continuationSeparator" w:id="0">
    <w:p w14:paraId="4E68A734" w14:textId="77777777" w:rsidR="004C424D" w:rsidRDefault="004C424D" w:rsidP="004A52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EA8EC" w14:textId="77777777" w:rsidR="004A521D" w:rsidRPr="003746F3" w:rsidRDefault="004A521D" w:rsidP="003746F3">
    <w:pPr>
      <w:pStyle w:val="En-tte"/>
      <w:tabs>
        <w:tab w:val="clear" w:pos="4536"/>
        <w:tab w:val="clear" w:pos="9072"/>
        <w:tab w:val="center" w:pos="5103"/>
        <w:tab w:val="right" w:pos="10204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7B06"/>
    <w:multiLevelType w:val="hybridMultilevel"/>
    <w:tmpl w:val="E040AD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739"/>
    <w:multiLevelType w:val="hybridMultilevel"/>
    <w:tmpl w:val="4D5AD5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439B4"/>
    <w:multiLevelType w:val="hybridMultilevel"/>
    <w:tmpl w:val="C34E3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C80"/>
    <w:multiLevelType w:val="hybridMultilevel"/>
    <w:tmpl w:val="88603158"/>
    <w:lvl w:ilvl="0" w:tplc="F986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1B20"/>
    <w:multiLevelType w:val="hybridMultilevel"/>
    <w:tmpl w:val="987657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C3D"/>
    <w:multiLevelType w:val="hybridMultilevel"/>
    <w:tmpl w:val="028E3E96"/>
    <w:lvl w:ilvl="0" w:tplc="F986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41DE"/>
    <w:multiLevelType w:val="hybridMultilevel"/>
    <w:tmpl w:val="5B8433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E448B"/>
    <w:multiLevelType w:val="hybridMultilevel"/>
    <w:tmpl w:val="A4F4CB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14317"/>
    <w:multiLevelType w:val="hybridMultilevel"/>
    <w:tmpl w:val="876A6478"/>
    <w:lvl w:ilvl="0" w:tplc="997817AC">
      <w:numFmt w:val="bullet"/>
      <w:lvlText w:val="-"/>
      <w:lvlJc w:val="left"/>
      <w:pPr>
        <w:ind w:left="720" w:hanging="360"/>
      </w:pPr>
      <w:rPr>
        <w:rFonts w:ascii="Jost" w:eastAsiaTheme="minorEastAsia" w:hAnsi="Jos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D3B7B"/>
    <w:multiLevelType w:val="hybridMultilevel"/>
    <w:tmpl w:val="5F549B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77AF5"/>
    <w:multiLevelType w:val="hybridMultilevel"/>
    <w:tmpl w:val="B22E30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C7284"/>
    <w:multiLevelType w:val="hybridMultilevel"/>
    <w:tmpl w:val="E69480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7686"/>
    <w:multiLevelType w:val="hybridMultilevel"/>
    <w:tmpl w:val="E3966FA8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1C32"/>
    <w:multiLevelType w:val="hybridMultilevel"/>
    <w:tmpl w:val="D2F6A8B6"/>
    <w:lvl w:ilvl="0" w:tplc="A224B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B5737"/>
    <w:multiLevelType w:val="hybridMultilevel"/>
    <w:tmpl w:val="5E36B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7f3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4"/>
    <w:rsid w:val="00013187"/>
    <w:rsid w:val="00036E57"/>
    <w:rsid w:val="00075350"/>
    <w:rsid w:val="00091BFB"/>
    <w:rsid w:val="000A3B14"/>
    <w:rsid w:val="0019484E"/>
    <w:rsid w:val="001B4D76"/>
    <w:rsid w:val="001D416E"/>
    <w:rsid w:val="001E2046"/>
    <w:rsid w:val="002D756A"/>
    <w:rsid w:val="00320FA8"/>
    <w:rsid w:val="003619A0"/>
    <w:rsid w:val="00371682"/>
    <w:rsid w:val="003746F3"/>
    <w:rsid w:val="00387794"/>
    <w:rsid w:val="003B2601"/>
    <w:rsid w:val="003C1A7B"/>
    <w:rsid w:val="0041515B"/>
    <w:rsid w:val="004522B9"/>
    <w:rsid w:val="004632AB"/>
    <w:rsid w:val="00482273"/>
    <w:rsid w:val="004A521D"/>
    <w:rsid w:val="004B2CC5"/>
    <w:rsid w:val="004C424D"/>
    <w:rsid w:val="005009A0"/>
    <w:rsid w:val="00506771"/>
    <w:rsid w:val="00554973"/>
    <w:rsid w:val="00573802"/>
    <w:rsid w:val="0059699F"/>
    <w:rsid w:val="005A1DE1"/>
    <w:rsid w:val="005D3DB0"/>
    <w:rsid w:val="005F4179"/>
    <w:rsid w:val="00605E32"/>
    <w:rsid w:val="00623758"/>
    <w:rsid w:val="0063469F"/>
    <w:rsid w:val="0064393A"/>
    <w:rsid w:val="00645CF9"/>
    <w:rsid w:val="006E4A60"/>
    <w:rsid w:val="006F2CDD"/>
    <w:rsid w:val="0071243F"/>
    <w:rsid w:val="00722B7C"/>
    <w:rsid w:val="007547C4"/>
    <w:rsid w:val="00775935"/>
    <w:rsid w:val="00784185"/>
    <w:rsid w:val="007875FB"/>
    <w:rsid w:val="007D2B9F"/>
    <w:rsid w:val="007F6E67"/>
    <w:rsid w:val="00811AD9"/>
    <w:rsid w:val="0084221D"/>
    <w:rsid w:val="00857158"/>
    <w:rsid w:val="00887661"/>
    <w:rsid w:val="00924E71"/>
    <w:rsid w:val="00935F19"/>
    <w:rsid w:val="00937961"/>
    <w:rsid w:val="009C406C"/>
    <w:rsid w:val="009E5435"/>
    <w:rsid w:val="00A0143C"/>
    <w:rsid w:val="00AD02D6"/>
    <w:rsid w:val="00B51AD4"/>
    <w:rsid w:val="00B81C6E"/>
    <w:rsid w:val="00BB4C63"/>
    <w:rsid w:val="00BD24D8"/>
    <w:rsid w:val="00BD4BBB"/>
    <w:rsid w:val="00BE0D0C"/>
    <w:rsid w:val="00BF6D82"/>
    <w:rsid w:val="00C37462"/>
    <w:rsid w:val="00D3012F"/>
    <w:rsid w:val="00D76DDD"/>
    <w:rsid w:val="00D871D8"/>
    <w:rsid w:val="00D926E5"/>
    <w:rsid w:val="00DB4AB8"/>
    <w:rsid w:val="00DC0B1C"/>
    <w:rsid w:val="00DD1512"/>
    <w:rsid w:val="00E11898"/>
    <w:rsid w:val="00E202C8"/>
    <w:rsid w:val="00E31C3C"/>
    <w:rsid w:val="00E4120E"/>
    <w:rsid w:val="00E47C2E"/>
    <w:rsid w:val="00EB39EB"/>
    <w:rsid w:val="00EB52B4"/>
    <w:rsid w:val="00F525A8"/>
    <w:rsid w:val="00FD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7f3fa"/>
    </o:shapedefaults>
    <o:shapelayout v:ext="edit">
      <o:idmap v:ext="edit" data="2"/>
    </o:shapelayout>
  </w:shapeDefaults>
  <w:decimalSymbol w:val="."/>
  <w:listSeparator w:val=";"/>
  <w14:docId w14:val="1C43888D"/>
  <w15:chartTrackingRefBased/>
  <w15:docId w15:val="{3553D09B-9D83-4468-A1CB-A5D4A2B6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6E5"/>
    <w:pPr>
      <w:spacing w:after="40" w:line="240" w:lineRule="auto"/>
      <w:jc w:val="both"/>
    </w:pPr>
    <w:rPr>
      <w:rFonts w:eastAsiaTheme="minorEastAsia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143C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01425E" w:themeColor="accent1" w:themeShade="BF"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1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8C8E" w:themeColor="accent2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1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1CC88" w:themeColor="accent6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0143C"/>
    <w:pPr>
      <w:spacing w:after="0" w:line="240" w:lineRule="auto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uiPriority w:val="9"/>
    <w:rsid w:val="00A0143C"/>
    <w:rPr>
      <w:rFonts w:asciiTheme="majorHAnsi" w:eastAsiaTheme="majorEastAsia" w:hAnsiTheme="majorHAnsi" w:cstheme="majorBidi"/>
      <w:color w:val="01425E" w:themeColor="accent1" w:themeShade="BF"/>
      <w:sz w:val="30"/>
      <w:szCs w:val="30"/>
    </w:rPr>
  </w:style>
  <w:style w:type="character" w:customStyle="1" w:styleId="Titre2Car">
    <w:name w:val="Titre 2 Car"/>
    <w:basedOn w:val="Policepardfaut"/>
    <w:link w:val="Titre2"/>
    <w:uiPriority w:val="9"/>
    <w:rsid w:val="00A0143C"/>
    <w:rPr>
      <w:rFonts w:asciiTheme="majorHAnsi" w:eastAsiaTheme="majorEastAsia" w:hAnsiTheme="majorHAnsi" w:cstheme="majorBidi"/>
      <w:color w:val="0B8C8E" w:themeColor="accent2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0143C"/>
    <w:rPr>
      <w:rFonts w:asciiTheme="majorHAnsi" w:eastAsiaTheme="majorEastAsia" w:hAnsiTheme="majorHAnsi" w:cstheme="majorBidi"/>
      <w:color w:val="01CC88" w:themeColor="accent6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43C"/>
    <w:pPr>
      <w:numPr>
        <w:ilvl w:val="1"/>
      </w:numPr>
      <w:jc w:val="center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A0143C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4632AB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color w:val="01425E" w:themeColor="accent1" w:themeShade="BF"/>
      <w:spacing w:val="-10"/>
      <w:sz w:val="52"/>
      <w:szCs w:val="52"/>
      <w14:textOutline w14:w="3175" w14:cap="rnd" w14:cmpd="sng" w14:algn="ctr">
        <w14:noFill/>
        <w14:prstDash w14:val="solid"/>
        <w14:bevel/>
      </w14:textOutline>
    </w:rPr>
  </w:style>
  <w:style w:type="character" w:customStyle="1" w:styleId="TitreCar">
    <w:name w:val="Titre Car"/>
    <w:basedOn w:val="Policepardfaut"/>
    <w:link w:val="Titre"/>
    <w:uiPriority w:val="10"/>
    <w:rsid w:val="004632AB"/>
    <w:rPr>
      <w:rFonts w:asciiTheme="majorHAnsi" w:eastAsiaTheme="majorEastAsia" w:hAnsiTheme="majorHAnsi" w:cstheme="majorBidi"/>
      <w:color w:val="01425E" w:themeColor="accent1" w:themeShade="BF"/>
      <w:spacing w:val="-10"/>
      <w:sz w:val="52"/>
      <w:szCs w:val="52"/>
      <w14:textOutline w14:w="3175" w14:cap="rnd" w14:cmpd="sng" w14:algn="ctr">
        <w14:noFill/>
        <w14:prstDash w14:val="solid"/>
        <w14:bevel/>
      </w14:textOutline>
    </w:rPr>
  </w:style>
  <w:style w:type="paragraph" w:styleId="Lgende">
    <w:name w:val="caption"/>
    <w:basedOn w:val="Normal"/>
    <w:next w:val="Normal"/>
    <w:uiPriority w:val="35"/>
    <w:unhideWhenUsed/>
    <w:qFormat/>
    <w:rsid w:val="00A0143C"/>
    <w:rPr>
      <w:b/>
      <w:bCs/>
      <w:color w:val="025A7F" w:themeColor="accent1"/>
      <w:spacing w:val="6"/>
      <w:sz w:val="20"/>
    </w:rPr>
  </w:style>
  <w:style w:type="paragraph" w:styleId="Paragraphedeliste">
    <w:name w:val="List Paragraph"/>
    <w:basedOn w:val="Normal"/>
    <w:uiPriority w:val="34"/>
    <w:qFormat/>
    <w:rsid w:val="003B26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521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A521D"/>
    <w:rPr>
      <w:rFonts w:eastAsiaTheme="minorEastAsia"/>
    </w:rPr>
  </w:style>
  <w:style w:type="paragraph" w:styleId="Pieddepage">
    <w:name w:val="footer"/>
    <w:basedOn w:val="Normal"/>
    <w:link w:val="PieddepageCar"/>
    <w:unhideWhenUsed/>
    <w:rsid w:val="004A521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4A521D"/>
    <w:rPr>
      <w:rFonts w:eastAsiaTheme="minorEastAsia"/>
    </w:rPr>
  </w:style>
  <w:style w:type="table" w:styleId="Grilledutableau">
    <w:name w:val="Table Grid"/>
    <w:basedOn w:val="TableauNormal"/>
    <w:uiPriority w:val="39"/>
    <w:rsid w:val="0037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B2601"/>
    <w:rPr>
      <w:color w:val="0FBCBE" w:themeColor="hyperlink"/>
      <w:u w:val="single"/>
    </w:rPr>
  </w:style>
  <w:style w:type="paragraph" w:customStyle="1" w:styleId="Trait">
    <w:name w:val="Trait"/>
    <w:basedOn w:val="Sansinterligne"/>
    <w:next w:val="Normal"/>
    <w:qFormat/>
    <w:rsid w:val="001E2046"/>
    <w:pPr>
      <w:jc w:val="center"/>
    </w:pPr>
    <w:rPr>
      <w:noProof/>
      <w:sz w:val="16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75935"/>
    <w:pPr>
      <w:spacing w:before="200" w:after="160"/>
      <w:ind w:left="862" w:right="862"/>
      <w:contextualSpacing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935"/>
    <w:rPr>
      <w:rFonts w:eastAsiaTheme="minorEastAsia"/>
      <w:i/>
      <w:iC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4632AB"/>
    <w:rPr>
      <w:b/>
      <w:bCs/>
      <w:smallCaps/>
      <w:color w:val="025A7F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16E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16E"/>
    <w:rPr>
      <w:rFonts w:ascii="Segoe UI" w:eastAsiaTheme="minorEastAsia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82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outique.edpsciences.fr/editeur/12/GN-MEBA" TargetMode="External"/><Relationship Id="rId13" Type="http://schemas.openxmlformats.org/officeDocument/2006/relationships/hyperlink" Target="https://gn-meba.org/adhesion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n-meba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fphysiqu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GNMEBA2025">
  <a:themeElements>
    <a:clrScheme name="GNMEBA2025">
      <a:dk1>
        <a:sysClr val="windowText" lastClr="000000"/>
      </a:dk1>
      <a:lt1>
        <a:sysClr val="window" lastClr="FFFFFF"/>
      </a:lt1>
      <a:dk2>
        <a:srgbClr val="4D6169"/>
      </a:dk2>
      <a:lt2>
        <a:srgbClr val="CCD4DE"/>
      </a:lt2>
      <a:accent1>
        <a:srgbClr val="025A7F"/>
      </a:accent1>
      <a:accent2>
        <a:srgbClr val="0FBCBE"/>
      </a:accent2>
      <a:accent3>
        <a:srgbClr val="4D6169"/>
      </a:accent3>
      <a:accent4>
        <a:srgbClr val="FFC000"/>
      </a:accent4>
      <a:accent5>
        <a:srgbClr val="FF0000"/>
      </a:accent5>
      <a:accent6>
        <a:srgbClr val="17FDB0"/>
      </a:accent6>
      <a:hlink>
        <a:srgbClr val="0FBCBE"/>
      </a:hlink>
      <a:folHlink>
        <a:srgbClr val="025A7F"/>
      </a:folHlink>
    </a:clrScheme>
    <a:fontScheme name="GNMEBA 2025">
      <a:majorFont>
        <a:latin typeface="Expletus Sans Medium"/>
        <a:ea typeface=""/>
        <a:cs typeface=""/>
      </a:majorFont>
      <a:minorFont>
        <a:latin typeface="Jo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1E0A-30B1-49F9-93A9-D696F4BD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925</Words>
  <Characters>5088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Marie-Eline Couturier</dc:creator>
  <cp:keywords/>
  <dc:description/>
  <cp:lastModifiedBy>Marie-Eline Couturier</cp:lastModifiedBy>
  <cp:revision>2</cp:revision>
  <cp:lastPrinted>2025-10-17T12:56:00Z</cp:lastPrinted>
  <dcterms:created xsi:type="dcterms:W3CDTF">2026-01-14T09:52:00Z</dcterms:created>
  <dcterms:modified xsi:type="dcterms:W3CDTF">2026-01-14T09:52:00Z</dcterms:modified>
</cp:coreProperties>
</file>