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162" w:rsidRPr="008E33B5" w:rsidRDefault="00B450ED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eastAsia="en-US"/>
        </w:rPr>
      </w:pPr>
      <w:r>
        <w:rPr>
          <w:rFonts w:asciiTheme="minorHAnsi" w:eastAsia="Calibri" w:hAnsiTheme="minorHAnsi"/>
          <w:b/>
          <w:bCs/>
          <w:sz w:val="32"/>
          <w:szCs w:val="22"/>
          <w:lang w:eastAsia="en-US"/>
        </w:rPr>
        <w:t>Diffraction des rayons X</w:t>
      </w:r>
      <w:r w:rsidR="00F26162"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</w:t>
      </w:r>
      <w:r w:rsidR="00F26162" w:rsidRPr="008E33B5">
        <w:rPr>
          <w:rFonts w:asciiTheme="minorHAnsi" w:eastAsia="Calibri" w:hAnsiTheme="minorHAnsi"/>
          <w:bCs/>
          <w:sz w:val="32"/>
          <w:szCs w:val="22"/>
          <w:lang w:eastAsia="en-US"/>
        </w:rPr>
        <w:t xml:space="preserve">(durée </w:t>
      </w:r>
      <w:r>
        <w:rPr>
          <w:rFonts w:asciiTheme="minorHAnsi" w:eastAsia="Calibri" w:hAnsiTheme="minorHAnsi"/>
          <w:bCs/>
          <w:sz w:val="32"/>
          <w:szCs w:val="22"/>
          <w:lang w:eastAsia="en-US"/>
        </w:rPr>
        <w:t>1</w:t>
      </w:r>
      <w:r w:rsidR="008F0DA9" w:rsidRPr="008E33B5">
        <w:rPr>
          <w:rFonts w:asciiTheme="minorHAnsi" w:eastAsia="Calibri" w:hAnsiTheme="minorHAnsi"/>
          <w:bCs/>
          <w:sz w:val="32"/>
          <w:szCs w:val="22"/>
          <w:lang w:eastAsia="en-US"/>
        </w:rPr>
        <w:t>h</w:t>
      </w:r>
      <w:r>
        <w:rPr>
          <w:rFonts w:asciiTheme="minorHAnsi" w:eastAsia="Calibri" w:hAnsiTheme="minorHAnsi"/>
          <w:bCs/>
          <w:sz w:val="32"/>
          <w:szCs w:val="22"/>
          <w:lang w:eastAsia="en-US"/>
        </w:rPr>
        <w:t>30</w:t>
      </w:r>
      <w:r w:rsidR="00F26162" w:rsidRPr="008E33B5">
        <w:rPr>
          <w:rFonts w:asciiTheme="minorHAnsi" w:eastAsia="Calibri" w:hAnsiTheme="minorHAnsi"/>
          <w:bCs/>
          <w:sz w:val="32"/>
          <w:szCs w:val="22"/>
          <w:lang w:eastAsia="en-US"/>
        </w:rPr>
        <w:t>)</w:t>
      </w:r>
    </w:p>
    <w:p w:rsidR="00F26162" w:rsidRPr="008E33B5" w:rsidRDefault="00B450ED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>
        <w:rPr>
          <w:rFonts w:asciiTheme="minorHAnsi" w:eastAsia="Calibri" w:hAnsiTheme="minorHAnsi"/>
          <w:b/>
          <w:bCs/>
          <w:szCs w:val="24"/>
          <w:lang w:eastAsia="en-US"/>
        </w:rPr>
        <w:t>Coordinateur</w:t>
      </w:r>
      <w:r w:rsidR="00F26162" w:rsidRPr="008E33B5">
        <w:rPr>
          <w:rFonts w:asciiTheme="minorHAnsi" w:eastAsia="Calibri" w:hAnsiTheme="minorHAnsi"/>
          <w:b/>
          <w:bCs/>
          <w:szCs w:val="24"/>
          <w:lang w:eastAsia="en-US"/>
        </w:rPr>
        <w:t xml:space="preserve"> : </w:t>
      </w:r>
      <w:r>
        <w:rPr>
          <w:rFonts w:asciiTheme="minorHAnsi" w:eastAsia="Calibri" w:hAnsiTheme="minorHAnsi"/>
          <w:b/>
          <w:bCs/>
          <w:szCs w:val="24"/>
          <w:lang w:eastAsia="en-US"/>
        </w:rPr>
        <w:t>Stanislav Péchev</w:t>
      </w:r>
    </w:p>
    <w:p w:rsidR="00F26162" w:rsidRDefault="00B450ED" w:rsidP="003E0EBB">
      <w:pPr>
        <w:spacing w:line="360" w:lineRule="auto"/>
        <w:ind w:firstLine="0"/>
        <w:jc w:val="center"/>
        <w:rPr>
          <w:rFonts w:asciiTheme="minorHAnsi" w:hAnsiTheme="minorHAnsi"/>
        </w:rPr>
      </w:pPr>
      <w:hyperlink r:id="rId8" w:history="1">
        <w:r w:rsidRPr="00EF2609">
          <w:rPr>
            <w:rStyle w:val="Lienhypertexte"/>
          </w:rPr>
          <w:t>stanislav.pechev@icmcb.cnrs.fr</w:t>
        </w:r>
      </w:hyperlink>
    </w:p>
    <w:p w:rsidR="00B450ED" w:rsidRPr="008E33B5" w:rsidRDefault="00B450ED" w:rsidP="003E0EBB">
      <w:pPr>
        <w:spacing w:line="360" w:lineRule="auto"/>
        <w:ind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ICMCB-CNRS, 87 av. du Dr A. Schweitzer, 33608 PESSAC</w:t>
      </w:r>
    </w:p>
    <w:p w:rsidR="009B2A06" w:rsidRPr="008E33B5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  <w:bookmarkStart w:id="0" w:name="_Toc31443577"/>
    </w:p>
    <w:p w:rsidR="009B2A06" w:rsidRPr="00B450ED" w:rsidRDefault="009B2A06" w:rsidP="003E0EBB">
      <w:pPr>
        <w:spacing w:line="360" w:lineRule="auto"/>
        <w:ind w:firstLine="0"/>
        <w:jc w:val="center"/>
        <w:rPr>
          <w:rFonts w:asciiTheme="minorHAnsi" w:hAnsiTheme="minorHAnsi" w:cstheme="minorHAnsi"/>
        </w:rPr>
      </w:pPr>
    </w:p>
    <w:bookmarkEnd w:id="0"/>
    <w:p w:rsidR="00B450ED" w:rsidRPr="00B450ED" w:rsidRDefault="00B450ED" w:rsidP="00B450ED">
      <w:pPr>
        <w:ind w:firstLine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450ED">
        <w:rPr>
          <w:rFonts w:asciiTheme="minorHAnsi" w:hAnsiTheme="minorHAnsi" w:cstheme="minorHAnsi"/>
          <w:b/>
          <w:sz w:val="28"/>
          <w:szCs w:val="28"/>
          <w:u w:val="single"/>
        </w:rPr>
        <w:t>Brè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ve description de la technique</w:t>
      </w:r>
    </w:p>
    <w:p w:rsidR="00B450ED" w:rsidRPr="00B450ED" w:rsidRDefault="00B450ED" w:rsidP="00B450ED">
      <w:pPr>
        <w:pStyle w:val="Rsum"/>
        <w:jc w:val="both"/>
        <w:rPr>
          <w:rFonts w:asciiTheme="minorHAnsi" w:hAnsiTheme="minorHAnsi" w:cstheme="minorHAnsi"/>
        </w:rPr>
      </w:pPr>
    </w:p>
    <w:p w:rsidR="00B450ED" w:rsidRPr="00B450ED" w:rsidRDefault="00B450ED" w:rsidP="00B450ED">
      <w:pPr>
        <w:spacing w:line="276" w:lineRule="auto"/>
        <w:rPr>
          <w:rFonts w:asciiTheme="minorHAnsi" w:hAnsiTheme="minorHAnsi" w:cstheme="minorHAnsi"/>
        </w:rPr>
      </w:pPr>
      <w:r w:rsidRPr="00B450ED">
        <w:rPr>
          <w:rFonts w:asciiTheme="minorHAnsi" w:hAnsiTheme="minorHAnsi" w:cstheme="minorHAnsi"/>
        </w:rPr>
        <w:t xml:space="preserve">Technique de caractérisation non destructive qui permet d’identifier la nature du corps étudié, ainsi que sa structure cristalline. </w:t>
      </w:r>
    </w:p>
    <w:p w:rsidR="00B450ED" w:rsidRDefault="00B450ED" w:rsidP="00B450ED">
      <w:pPr>
        <w:spacing w:line="276" w:lineRule="auto"/>
        <w:rPr>
          <w:rFonts w:asciiTheme="minorHAnsi" w:hAnsiTheme="minorHAnsi" w:cstheme="minorHAnsi"/>
        </w:rPr>
      </w:pPr>
      <w:r w:rsidRPr="00B450ED">
        <w:rPr>
          <w:rFonts w:asciiTheme="minorHAnsi" w:hAnsiTheme="minorHAnsi" w:cstheme="minorHAnsi"/>
        </w:rPr>
        <w:t>Le phénomène de diffraction se produit lorsque l’onde du rayonnement X rencontre le milieux périodique d’un cristal. Par conséquent, l’analyse par diffraction X concerne essentiellement la matière cristallisée et n’est pas adaptée au matériaux amorphes (verres).</w:t>
      </w:r>
      <w:r w:rsidR="001B357D">
        <w:rPr>
          <w:rFonts w:asciiTheme="minorHAnsi" w:hAnsiTheme="minorHAnsi" w:cstheme="minorHAnsi"/>
        </w:rPr>
        <w:t xml:space="preserve"> La relation entre les distances réticulaires </w:t>
      </w:r>
      <w:proofErr w:type="spellStart"/>
      <w:r w:rsidR="001B357D" w:rsidRPr="001B357D">
        <w:rPr>
          <w:rFonts w:asciiTheme="minorHAnsi" w:hAnsiTheme="minorHAnsi" w:cstheme="minorHAnsi"/>
          <w:i/>
        </w:rPr>
        <w:t>d</w:t>
      </w:r>
      <w:r w:rsidR="001B357D" w:rsidRPr="001B357D">
        <w:rPr>
          <w:rFonts w:asciiTheme="minorHAnsi" w:hAnsiTheme="minorHAnsi" w:cstheme="minorHAnsi"/>
          <w:i/>
          <w:vertAlign w:val="subscript"/>
        </w:rPr>
        <w:t>hkl</w:t>
      </w:r>
      <w:proofErr w:type="spellEnd"/>
      <w:r w:rsidR="001B357D" w:rsidRPr="001B357D">
        <w:rPr>
          <w:rFonts w:asciiTheme="minorHAnsi" w:hAnsiTheme="minorHAnsi" w:cstheme="minorHAnsi"/>
          <w:vertAlign w:val="subscript"/>
        </w:rPr>
        <w:t xml:space="preserve"> </w:t>
      </w:r>
      <w:r w:rsidR="001B357D">
        <w:rPr>
          <w:rFonts w:asciiTheme="minorHAnsi" w:hAnsiTheme="minorHAnsi" w:cstheme="minorHAnsi"/>
        </w:rPr>
        <w:t xml:space="preserve">dans un cristal, la longueur d’onde </w:t>
      </w:r>
      <w:r w:rsidR="001B357D" w:rsidRPr="001B357D">
        <w:rPr>
          <w:rFonts w:ascii="Symbol" w:hAnsi="Symbol" w:cstheme="minorHAnsi"/>
          <w:i/>
        </w:rPr>
        <w:t></w:t>
      </w:r>
      <w:r w:rsidR="001B357D">
        <w:rPr>
          <w:rFonts w:asciiTheme="minorHAnsi" w:hAnsiTheme="minorHAnsi" w:cstheme="minorHAnsi"/>
        </w:rPr>
        <w:t xml:space="preserve"> des rayons X et les angles de diffraction </w:t>
      </w:r>
      <w:r w:rsidR="001B357D" w:rsidRPr="001B357D">
        <w:rPr>
          <w:rFonts w:ascii="Symbol" w:hAnsi="Symbol" w:cstheme="minorHAnsi"/>
          <w:i/>
        </w:rPr>
        <w:t></w:t>
      </w:r>
      <w:r w:rsidR="001B357D">
        <w:rPr>
          <w:rFonts w:asciiTheme="minorHAnsi" w:hAnsiTheme="minorHAnsi" w:cstheme="minorHAnsi"/>
        </w:rPr>
        <w:t xml:space="preserve"> est exprimé par la loi de Bragg :</w:t>
      </w:r>
    </w:p>
    <w:p w:rsidR="001B357D" w:rsidRPr="001B357D" w:rsidRDefault="001B357D" w:rsidP="001B357D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1B357D">
        <w:rPr>
          <w:rFonts w:asciiTheme="minorHAnsi" w:hAnsiTheme="minorHAnsi" w:cstheme="minorHAnsi"/>
          <w:i/>
        </w:rPr>
        <w:t>2d</w:t>
      </w:r>
      <w:r w:rsidRPr="001B357D">
        <w:rPr>
          <w:rFonts w:asciiTheme="minorHAnsi" w:hAnsiTheme="minorHAnsi" w:cstheme="minorHAnsi"/>
          <w:i/>
          <w:vertAlign w:val="subscript"/>
        </w:rPr>
        <w:t>hkl</w:t>
      </w:r>
      <w:r w:rsidRPr="001B357D">
        <w:rPr>
          <w:rFonts w:asciiTheme="minorHAnsi" w:hAnsiTheme="minorHAnsi" w:cstheme="minorHAnsi"/>
          <w:i/>
        </w:rPr>
        <w:t>sin</w:t>
      </w:r>
      <w:r w:rsidRPr="001B357D">
        <w:rPr>
          <w:rFonts w:ascii="Symbol" w:hAnsi="Symbol" w:cstheme="minorHAnsi"/>
          <w:i/>
        </w:rPr>
        <w:t></w:t>
      </w:r>
      <w:r w:rsidRPr="001B357D">
        <w:rPr>
          <w:rFonts w:asciiTheme="minorHAnsi" w:hAnsiTheme="minorHAnsi" w:cstheme="minorHAnsi"/>
          <w:i/>
        </w:rPr>
        <w:t xml:space="preserve"> = </w:t>
      </w:r>
      <w:proofErr w:type="spellStart"/>
      <w:r w:rsidRPr="001B357D">
        <w:rPr>
          <w:rFonts w:asciiTheme="minorHAnsi" w:hAnsiTheme="minorHAnsi" w:cstheme="minorHAnsi"/>
          <w:i/>
        </w:rPr>
        <w:t>n</w:t>
      </w:r>
      <w:r w:rsidRPr="001B357D">
        <w:rPr>
          <w:rFonts w:ascii="Symbol" w:hAnsi="Symbol" w:cstheme="minorHAnsi"/>
          <w:i/>
        </w:rPr>
        <w:t></w:t>
      </w:r>
      <w:proofErr w:type="spellEnd"/>
    </w:p>
    <w:p w:rsidR="00B450ED" w:rsidRPr="00B450ED" w:rsidRDefault="00B450ED" w:rsidP="00B450ED">
      <w:pPr>
        <w:spacing w:line="276" w:lineRule="auto"/>
        <w:rPr>
          <w:rFonts w:asciiTheme="minorHAnsi" w:hAnsiTheme="minorHAnsi" w:cstheme="minorHAnsi"/>
        </w:rPr>
      </w:pPr>
      <w:r w:rsidRPr="00B450ED">
        <w:rPr>
          <w:rFonts w:asciiTheme="minorHAnsi" w:hAnsiTheme="minorHAnsi" w:cstheme="minorHAnsi"/>
        </w:rPr>
        <w:t xml:space="preserve">En tant qu’onde électromagnétique, les rayons X interagissent avec le nuage électronique des atomes qui constituent l’échantillon cristallin. L’étude structurale </w:t>
      </w:r>
      <w:r w:rsidR="00BB4DAC">
        <w:rPr>
          <w:rFonts w:asciiTheme="minorHAnsi" w:hAnsiTheme="minorHAnsi" w:cstheme="minorHAnsi"/>
        </w:rPr>
        <w:t>repose</w:t>
      </w:r>
      <w:r w:rsidRPr="00B450ED">
        <w:rPr>
          <w:rFonts w:asciiTheme="minorHAnsi" w:hAnsiTheme="minorHAnsi" w:cstheme="minorHAnsi"/>
        </w:rPr>
        <w:t xml:space="preserve"> donc sur une analyse des cartes de densités électroniques qui permet la localisation des atomes, leur identification et la reconstruction de la structure cristalline. </w:t>
      </w:r>
    </w:p>
    <w:p w:rsidR="00B450ED" w:rsidRPr="00B450ED" w:rsidRDefault="00B450ED" w:rsidP="00B450ED">
      <w:pPr>
        <w:spacing w:line="276" w:lineRule="auto"/>
        <w:rPr>
          <w:rFonts w:asciiTheme="minorHAnsi" w:hAnsiTheme="minorHAnsi" w:cstheme="minorHAnsi"/>
        </w:rPr>
      </w:pPr>
      <w:r w:rsidRPr="00B450ED">
        <w:rPr>
          <w:rFonts w:asciiTheme="minorHAnsi" w:hAnsiTheme="minorHAnsi" w:cstheme="minorHAnsi"/>
        </w:rPr>
        <w:t xml:space="preserve">Les expériences de diffraction s’effectuent sur monocristaux ou sur échantillons </w:t>
      </w:r>
      <w:proofErr w:type="spellStart"/>
      <w:r w:rsidRPr="00B450ED">
        <w:rPr>
          <w:rFonts w:asciiTheme="minorHAnsi" w:hAnsiTheme="minorHAnsi" w:cstheme="minorHAnsi"/>
        </w:rPr>
        <w:t>polycristallins</w:t>
      </w:r>
      <w:proofErr w:type="spellEnd"/>
      <w:r w:rsidRPr="00B450ED">
        <w:rPr>
          <w:rFonts w:asciiTheme="minorHAnsi" w:hAnsiTheme="minorHAnsi" w:cstheme="minorHAnsi"/>
        </w:rPr>
        <w:t xml:space="preserve"> (poudres). </w:t>
      </w:r>
    </w:p>
    <w:p w:rsidR="00B450ED" w:rsidRPr="00B450ED" w:rsidRDefault="00B450ED" w:rsidP="00B450ED">
      <w:pPr>
        <w:spacing w:line="276" w:lineRule="auto"/>
        <w:rPr>
          <w:rFonts w:asciiTheme="minorHAnsi" w:hAnsiTheme="minorHAnsi" w:cstheme="minorHAnsi"/>
        </w:rPr>
      </w:pPr>
      <w:r w:rsidRPr="00B450ED">
        <w:rPr>
          <w:rFonts w:asciiTheme="minorHAnsi" w:hAnsiTheme="minorHAnsi" w:cstheme="minorHAnsi"/>
        </w:rPr>
        <w:t>La diffraction sur poudre est un moyen rapide d’identification des phases présentes dans un échantillon.</w:t>
      </w:r>
    </w:p>
    <w:p w:rsidR="00B450ED" w:rsidRPr="00B450ED" w:rsidRDefault="00B450ED" w:rsidP="00B450ED">
      <w:pPr>
        <w:spacing w:line="276" w:lineRule="auto"/>
        <w:rPr>
          <w:rFonts w:asciiTheme="minorHAnsi" w:hAnsiTheme="minorHAnsi" w:cstheme="minorHAnsi"/>
        </w:rPr>
      </w:pPr>
      <w:r w:rsidRPr="00B450ED">
        <w:rPr>
          <w:rFonts w:asciiTheme="minorHAnsi" w:hAnsiTheme="minorHAnsi" w:cstheme="minorHAnsi"/>
        </w:rPr>
        <w:t xml:space="preserve">La résolution structurale commence avec la détermination de la géométrie des cristaux et de leur symétrie ; lors de l’étape suivante on détermine la position des atomes dans l’espace pour </w:t>
      </w:r>
      <w:bookmarkStart w:id="1" w:name="_GoBack"/>
      <w:bookmarkEnd w:id="1"/>
      <w:r w:rsidRPr="00B450ED">
        <w:rPr>
          <w:rFonts w:asciiTheme="minorHAnsi" w:hAnsiTheme="minorHAnsi" w:cstheme="minorHAnsi"/>
        </w:rPr>
        <w:t xml:space="preserve">décrire la structure. </w:t>
      </w:r>
    </w:p>
    <w:p w:rsidR="008F0DA9" w:rsidRPr="00B450ED" w:rsidRDefault="008F0DA9" w:rsidP="00B450ED">
      <w:pPr>
        <w:spacing w:line="276" w:lineRule="auto"/>
        <w:rPr>
          <w:rFonts w:asciiTheme="minorHAnsi" w:hAnsiTheme="minorHAnsi" w:cstheme="minorHAnsi"/>
        </w:rPr>
      </w:pPr>
    </w:p>
    <w:p w:rsidR="003B44EA" w:rsidRPr="00B450ED" w:rsidRDefault="00B450ED" w:rsidP="00B450ED">
      <w:pPr>
        <w:pStyle w:val="Titre1"/>
        <w:numPr>
          <w:ilvl w:val="0"/>
          <w:numId w:val="0"/>
        </w:numPr>
        <w:rPr>
          <w:rFonts w:asciiTheme="minorHAnsi" w:hAnsiTheme="minorHAnsi" w:cstheme="minorHAnsi"/>
          <w:noProof w:val="0"/>
          <w:u w:val="single"/>
        </w:rPr>
      </w:pPr>
      <w:r w:rsidRPr="00B450ED">
        <w:rPr>
          <w:rFonts w:asciiTheme="minorHAnsi" w:hAnsiTheme="minorHAnsi" w:cstheme="minorHAnsi"/>
          <w:noProof w:val="0"/>
          <w:u w:val="single"/>
        </w:rPr>
        <w:t>Contenu de l’atelier pratique</w:t>
      </w:r>
    </w:p>
    <w:p w:rsidR="00B450ED" w:rsidRPr="00B450ED" w:rsidRDefault="00B450ED" w:rsidP="00B450ED">
      <w:pPr>
        <w:pStyle w:val="Paragraphedeliste"/>
        <w:numPr>
          <w:ilvl w:val="0"/>
          <w:numId w:val="3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450ED">
        <w:rPr>
          <w:rFonts w:cstheme="minorHAnsi"/>
          <w:sz w:val="24"/>
          <w:szCs w:val="24"/>
        </w:rPr>
        <w:t>Un exemple d’analyse de phases dans un échantillon minéral</w:t>
      </w:r>
    </w:p>
    <w:p w:rsidR="00B450ED" w:rsidRPr="00B450ED" w:rsidRDefault="00B450ED" w:rsidP="00B450ED">
      <w:pPr>
        <w:pStyle w:val="Paragraphedeliste"/>
        <w:numPr>
          <w:ilvl w:val="0"/>
          <w:numId w:val="3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450ED">
        <w:rPr>
          <w:rFonts w:cstheme="minorHAnsi"/>
          <w:sz w:val="24"/>
          <w:szCs w:val="24"/>
        </w:rPr>
        <w:t xml:space="preserve">Démonstration de la relation entre densité électronique et intensité diffractée. </w:t>
      </w:r>
    </w:p>
    <w:p w:rsidR="00B450ED" w:rsidRPr="00B450ED" w:rsidRDefault="00B450ED" w:rsidP="00B450ED">
      <w:pPr>
        <w:pStyle w:val="Paragraphedeliste"/>
        <w:numPr>
          <w:ilvl w:val="0"/>
          <w:numId w:val="3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450ED">
        <w:rPr>
          <w:rFonts w:cstheme="minorHAnsi"/>
          <w:sz w:val="24"/>
          <w:szCs w:val="24"/>
        </w:rPr>
        <w:t xml:space="preserve">Mise en œuvre d’une expérience de diffraction X sur monocristal. </w:t>
      </w:r>
    </w:p>
    <w:p w:rsidR="00B450ED" w:rsidRPr="00B450ED" w:rsidRDefault="00B450ED" w:rsidP="00B450ED">
      <w:pPr>
        <w:pStyle w:val="Paragraphedeliste"/>
        <w:numPr>
          <w:ilvl w:val="0"/>
          <w:numId w:val="3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450ED">
        <w:rPr>
          <w:rFonts w:cstheme="minorHAnsi"/>
          <w:sz w:val="24"/>
          <w:szCs w:val="24"/>
        </w:rPr>
        <w:t>Résolution structurale.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sectPr w:rsidR="008F0DA9" w:rsidRPr="008E33B5" w:rsidSect="004656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7" w:h="16840" w:code="9"/>
      <w:pgMar w:top="1418" w:right="851" w:bottom="851" w:left="851" w:header="454" w:footer="737" w:gutter="56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59D" w:rsidRDefault="0046059D"/>
    <w:p w:rsidR="0046059D" w:rsidRDefault="0046059D"/>
  </w:endnote>
  <w:endnote w:type="continuationSeparator" w:id="0">
    <w:p w:rsidR="0046059D" w:rsidRDefault="0046059D"/>
    <w:p w:rsidR="0046059D" w:rsidRDefault="0046059D"/>
  </w:endnote>
  <w:endnote w:type="continuationNotice" w:id="1">
    <w:p w:rsidR="0046059D" w:rsidRDefault="0046059D"/>
    <w:p w:rsidR="0046059D" w:rsidRDefault="0046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007" w:rsidRDefault="009460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007" w:rsidRDefault="0094600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007" w:rsidRDefault="009460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59D" w:rsidRDefault="0046059D">
      <w:r>
        <w:separator/>
      </w:r>
    </w:p>
  </w:footnote>
  <w:footnote w:type="continuationSeparator" w:id="0">
    <w:p w:rsidR="0046059D" w:rsidRDefault="00460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35" w:rsidRPr="008E33B5" w:rsidRDefault="00494B35" w:rsidP="00465626">
    <w:pPr>
      <w:pStyle w:val="En-tte"/>
      <w:framePr w:h="397" w:hRule="exact" w:wrap="around" w:vAnchor="text" w:hAnchor="page" w:x="1432" w:y="220"/>
      <w:ind w:firstLine="0"/>
      <w:jc w:val="left"/>
      <w:rPr>
        <w:rStyle w:val="Numrodepage"/>
        <w:rFonts w:asciiTheme="minorHAnsi" w:hAnsiTheme="minorHAnsi"/>
      </w:rPr>
    </w:pPr>
    <w:r w:rsidRPr="008E33B5">
      <w:rPr>
        <w:rStyle w:val="Numrodepage"/>
        <w:rFonts w:asciiTheme="minorHAnsi" w:hAnsiTheme="minorHAnsi"/>
      </w:rPr>
      <w:fldChar w:fldCharType="begin"/>
    </w:r>
    <w:r w:rsidRPr="008E33B5">
      <w:rPr>
        <w:rStyle w:val="Numrodepage"/>
        <w:rFonts w:asciiTheme="minorHAnsi" w:hAnsiTheme="minorHAnsi"/>
      </w:rPr>
      <w:instrText xml:space="preserve">PAGE  </w:instrText>
    </w:r>
    <w:r w:rsidRPr="008E33B5">
      <w:rPr>
        <w:rStyle w:val="Numrodepage"/>
        <w:rFonts w:asciiTheme="minorHAnsi" w:hAnsiTheme="minorHAnsi"/>
      </w:rPr>
      <w:fldChar w:fldCharType="separate"/>
    </w:r>
    <w:r w:rsidR="00BB4DAC">
      <w:rPr>
        <w:rStyle w:val="Numrodepage"/>
        <w:rFonts w:asciiTheme="minorHAnsi" w:hAnsiTheme="minorHAnsi"/>
        <w:noProof/>
      </w:rPr>
      <w:t>2</w:t>
    </w:r>
    <w:r w:rsidRPr="008E33B5">
      <w:rPr>
        <w:rStyle w:val="Numrodepage"/>
        <w:rFonts w:asciiTheme="minorHAnsi" w:hAnsiTheme="minorHAnsi"/>
      </w:rPr>
      <w:fldChar w:fldCharType="end"/>
    </w:r>
  </w:p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35" w:rsidRDefault="00494B35">
    <w:pPr>
      <w:pStyle w:val="Numerodepage"/>
      <w:ind w:right="360" w:firstLine="360"/>
    </w:pPr>
    <w:r>
      <w:tab/>
    </w:r>
  </w:p>
  <w:p w:rsidR="00494B35" w:rsidRPr="008E33B5" w:rsidRDefault="00494B35">
    <w:pPr>
      <w:pStyle w:val="En-tte"/>
      <w:framePr w:wrap="around" w:vAnchor="text" w:hAnchor="page" w:x="9982" w:y="49"/>
      <w:rPr>
        <w:rStyle w:val="Numrodepage"/>
        <w:rFonts w:asciiTheme="minorHAnsi" w:hAnsiTheme="minorHAnsi"/>
      </w:rPr>
    </w:pPr>
    <w:r w:rsidRPr="008E33B5">
      <w:rPr>
        <w:rStyle w:val="Numrodepage"/>
        <w:rFonts w:asciiTheme="minorHAnsi" w:hAnsiTheme="minorHAnsi"/>
      </w:rPr>
      <w:fldChar w:fldCharType="begin"/>
    </w:r>
    <w:r w:rsidRPr="008E33B5">
      <w:rPr>
        <w:rStyle w:val="Numrodepage"/>
        <w:rFonts w:asciiTheme="minorHAnsi" w:hAnsiTheme="minorHAnsi"/>
      </w:rPr>
      <w:instrText xml:space="preserve">PAGE  </w:instrText>
    </w:r>
    <w:r w:rsidRPr="008E33B5">
      <w:rPr>
        <w:rStyle w:val="Numrodepage"/>
        <w:rFonts w:asciiTheme="minorHAnsi" w:hAnsiTheme="minorHAnsi"/>
      </w:rPr>
      <w:fldChar w:fldCharType="separate"/>
    </w:r>
    <w:r w:rsidR="001B357D">
      <w:rPr>
        <w:rStyle w:val="Numrodepage"/>
        <w:rFonts w:asciiTheme="minorHAnsi" w:hAnsiTheme="minorHAnsi"/>
        <w:noProof/>
      </w:rPr>
      <w:t>3</w:t>
    </w:r>
    <w:r w:rsidRPr="008E33B5">
      <w:rPr>
        <w:rStyle w:val="Numrodepage"/>
        <w:rFonts w:asciiTheme="minorHAnsi" w:hAnsiTheme="minorHAnsi"/>
      </w:rPr>
      <w:fldChar w:fldCharType="end"/>
    </w:r>
  </w:p>
  <w:p w:rsidR="00494B35" w:rsidRPr="008E33B5" w:rsidRDefault="00465626" w:rsidP="00465626">
    <w:pPr>
      <w:pStyle w:val="En-tte-auteurs"/>
      <w:rPr>
        <w:rFonts w:asciiTheme="minorHAnsi" w:hAnsiTheme="minorHAnsi"/>
        <w:sz w:val="18"/>
      </w:rPr>
    </w:pPr>
    <w:r w:rsidRPr="008E33B5">
      <w:rPr>
        <w:rFonts w:asciiTheme="minorHAnsi" w:hAnsiTheme="minorHAnsi"/>
        <w:sz w:val="24"/>
      </w:rPr>
      <w:t>TDX-x  TITRE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E1F" w:rsidRDefault="00946007" w:rsidP="008E33B5">
    <w:pPr>
      <w:tabs>
        <w:tab w:val="left" w:pos="5812"/>
        <w:tab w:val="right" w:pos="9639"/>
      </w:tabs>
      <w:spacing w:after="200" w:line="276" w:lineRule="auto"/>
      <w:ind w:firstLine="0"/>
      <w:jc w:val="left"/>
      <w:rPr>
        <w:rFonts w:ascii="Calibri" w:eastAsia="Calibri" w:hAnsi="Calibri"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E54B56" wp14:editId="6C88279D">
          <wp:simplePos x="0" y="0"/>
          <wp:positionH relativeFrom="column">
            <wp:posOffset>4457700</wp:posOffset>
          </wp:positionH>
          <wp:positionV relativeFrom="paragraph">
            <wp:posOffset>46990</wp:posOffset>
          </wp:positionV>
          <wp:extent cx="854044" cy="352425"/>
          <wp:effectExtent l="0" t="0" r="381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6FCFC"/>
                      </a:clrFrom>
                      <a:clrTo>
                        <a:srgbClr val="F6FC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044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3E1F">
      <w:rPr>
        <w:rFonts w:ascii="Calibri" w:eastAsia="Calibri" w:hAnsi="Calibri"/>
        <w:noProof/>
        <w:sz w:val="22"/>
        <w:szCs w:val="22"/>
      </w:rPr>
      <w:drawing>
        <wp:inline distT="0" distB="0" distL="0" distR="0" wp14:anchorId="6A135D2A" wp14:editId="03EA1464">
          <wp:extent cx="3388995" cy="574675"/>
          <wp:effectExtent l="0" t="0" r="1905" b="0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38899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10CC">
      <w:rPr>
        <w:rFonts w:ascii="Calibri" w:eastAsia="Calibri" w:hAnsi="Calibri"/>
        <w:sz w:val="22"/>
        <w:szCs w:val="22"/>
        <w:lang w:eastAsia="en-US"/>
      </w:rPr>
      <w:tab/>
    </w:r>
    <w:r w:rsidR="00E010CC">
      <w:rPr>
        <w:rFonts w:ascii="Calibri" w:eastAsia="Calibri" w:hAnsi="Calibri"/>
        <w:sz w:val="22"/>
        <w:szCs w:val="22"/>
        <w:lang w:eastAsia="en-US"/>
      </w:rPr>
      <w:tab/>
    </w:r>
  </w:p>
  <w:p w:rsidR="005F3E1F" w:rsidRPr="00F26162" w:rsidRDefault="005F3E1F" w:rsidP="005F3E1F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650" w:firstLine="0"/>
      <w:jc w:val="center"/>
      <w:outlineLvl w:val="1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5F3E1F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650" w:firstLine="0"/>
      <w:jc w:val="center"/>
      <w:outlineLvl w:val="0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>
    <w:pPr>
      <w:pStyle w:val="En-tte"/>
    </w:pPr>
  </w:p>
  <w:p w:rsidR="00465626" w:rsidRDefault="004656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 w15:restartNumberingAfterBreak="0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 w15:restartNumberingAfterBreak="0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 w15:restartNumberingAfterBreak="0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 w15:restartNumberingAfterBreak="0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 w15:restartNumberingAfterBreak="0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 w15:restartNumberingAfterBreak="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6594575"/>
    <w:multiLevelType w:val="hybridMultilevel"/>
    <w:tmpl w:val="9836D256"/>
    <w:lvl w:ilvl="0" w:tplc="07C2E6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9" w15:restartNumberingAfterBreak="0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4" w15:restartNumberingAfterBreak="0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26"/>
  </w:num>
  <w:num w:numId="5">
    <w:abstractNumId w:val="14"/>
  </w:num>
  <w:num w:numId="6">
    <w:abstractNumId w:val="12"/>
  </w:num>
  <w:num w:numId="7">
    <w:abstractNumId w:val="1"/>
  </w:num>
  <w:num w:numId="8">
    <w:abstractNumId w:val="15"/>
  </w:num>
  <w:num w:numId="9">
    <w:abstractNumId w:val="2"/>
  </w:num>
  <w:num w:numId="10">
    <w:abstractNumId w:val="18"/>
  </w:num>
  <w:num w:numId="11">
    <w:abstractNumId w:val="23"/>
  </w:num>
  <w:num w:numId="12">
    <w:abstractNumId w:val="3"/>
  </w:num>
  <w:num w:numId="13">
    <w:abstractNumId w:val="3"/>
  </w:num>
  <w:num w:numId="14">
    <w:abstractNumId w:val="20"/>
  </w:num>
  <w:num w:numId="15">
    <w:abstractNumId w:val="24"/>
  </w:num>
  <w:num w:numId="16">
    <w:abstractNumId w:val="16"/>
  </w:num>
  <w:num w:numId="17">
    <w:abstractNumId w:val="25"/>
  </w:num>
  <w:num w:numId="18">
    <w:abstractNumId w:val="10"/>
  </w:num>
  <w:num w:numId="19">
    <w:abstractNumId w:val="17"/>
  </w:num>
  <w:num w:numId="20">
    <w:abstractNumId w:val="4"/>
  </w:num>
  <w:num w:numId="21">
    <w:abstractNumId w:val="19"/>
  </w:num>
  <w:num w:numId="22">
    <w:abstractNumId w:val="28"/>
  </w:num>
  <w:num w:numId="23">
    <w:abstractNumId w:val="22"/>
  </w:num>
  <w:num w:numId="24">
    <w:abstractNumId w:val="6"/>
  </w:num>
  <w:num w:numId="25">
    <w:abstractNumId w:val="13"/>
  </w:num>
  <w:num w:numId="26">
    <w:abstractNumId w:val="27"/>
  </w:num>
  <w:num w:numId="27">
    <w:abstractNumId w:val="9"/>
  </w:num>
  <w:num w:numId="28">
    <w:abstractNumId w:val="19"/>
  </w:num>
  <w:num w:numId="29">
    <w:abstractNumId w:val="7"/>
  </w:num>
  <w:num w:numId="30">
    <w:abstractNumId w:val="8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54B6"/>
    <w:rsid w:val="00160371"/>
    <w:rsid w:val="00160CA9"/>
    <w:rsid w:val="00162385"/>
    <w:rsid w:val="00170D89"/>
    <w:rsid w:val="00171B21"/>
    <w:rsid w:val="001762DC"/>
    <w:rsid w:val="001870FF"/>
    <w:rsid w:val="001B300D"/>
    <w:rsid w:val="001B357D"/>
    <w:rsid w:val="001C1847"/>
    <w:rsid w:val="001D06EC"/>
    <w:rsid w:val="001D179C"/>
    <w:rsid w:val="001E6D61"/>
    <w:rsid w:val="001F4E9E"/>
    <w:rsid w:val="001F6B1A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64E04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59D"/>
    <w:rsid w:val="00460FE3"/>
    <w:rsid w:val="00465626"/>
    <w:rsid w:val="0047166C"/>
    <w:rsid w:val="00480520"/>
    <w:rsid w:val="00482114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3AE0"/>
    <w:rsid w:val="006616E7"/>
    <w:rsid w:val="00662702"/>
    <w:rsid w:val="00664F57"/>
    <w:rsid w:val="0067587B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7321D"/>
    <w:rsid w:val="00980BB4"/>
    <w:rsid w:val="00997C07"/>
    <w:rsid w:val="009A0166"/>
    <w:rsid w:val="009A53AC"/>
    <w:rsid w:val="009A6303"/>
    <w:rsid w:val="009B2A06"/>
    <w:rsid w:val="009C25D4"/>
    <w:rsid w:val="009C736F"/>
    <w:rsid w:val="009E74B5"/>
    <w:rsid w:val="009F11B0"/>
    <w:rsid w:val="009F6E10"/>
    <w:rsid w:val="009F7E8E"/>
    <w:rsid w:val="00A01DD4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94E53"/>
    <w:rsid w:val="00AA4A05"/>
    <w:rsid w:val="00AB2142"/>
    <w:rsid w:val="00AB22A8"/>
    <w:rsid w:val="00AB76E5"/>
    <w:rsid w:val="00AC3B76"/>
    <w:rsid w:val="00AD1B8B"/>
    <w:rsid w:val="00AD3D63"/>
    <w:rsid w:val="00AF0D3C"/>
    <w:rsid w:val="00AF6EFB"/>
    <w:rsid w:val="00B07603"/>
    <w:rsid w:val="00B10CEE"/>
    <w:rsid w:val="00B11F83"/>
    <w:rsid w:val="00B17F56"/>
    <w:rsid w:val="00B24925"/>
    <w:rsid w:val="00B301D1"/>
    <w:rsid w:val="00B34397"/>
    <w:rsid w:val="00B369AE"/>
    <w:rsid w:val="00B412B0"/>
    <w:rsid w:val="00B44DE4"/>
    <w:rsid w:val="00B450ED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B4DAC"/>
    <w:rsid w:val="00BC3254"/>
    <w:rsid w:val="00BC5DDF"/>
    <w:rsid w:val="00BD05D3"/>
    <w:rsid w:val="00BD5D91"/>
    <w:rsid w:val="00BD5DC1"/>
    <w:rsid w:val="00BE5DF9"/>
    <w:rsid w:val="00BF447B"/>
    <w:rsid w:val="00BF7DDE"/>
    <w:rsid w:val="00C00E4D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1642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615464"/>
  <w15:docId w15:val="{5C98A718-EA63-4F3E-9620-31645096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450E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pechev@icmcb.cnr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8FFFE-B4A4-4786-9196-6FD1020C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</Template>
  <TotalTime>25</TotalTime>
  <Pages>3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1914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Stanislav Pechev</cp:lastModifiedBy>
  <cp:revision>6</cp:revision>
  <cp:lastPrinted>2012-04-30T15:20:00Z</cp:lastPrinted>
  <dcterms:created xsi:type="dcterms:W3CDTF">2017-03-10T09:08:00Z</dcterms:created>
  <dcterms:modified xsi:type="dcterms:W3CDTF">2017-07-06T16:28:00Z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Docear4Word_StyleTitle">
    <vt:lpwstr>ACM SIG Proceedings With Long Author List</vt:lpwstr>
  </property>
</Properties>
</file>