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91"/>
        <w:gridCol w:w="3947"/>
      </w:tblGrid>
      <w:tr w:rsidR="006817C1">
        <w:tc>
          <w:tcPr>
            <w:tcW w:w="5691" w:type="dxa"/>
            <w:shd w:val="clear" w:color="auto" w:fill="auto"/>
          </w:tcPr>
          <w:p w:rsidR="006817C1" w:rsidRDefault="0037280F">
            <w:pPr>
              <w:pStyle w:val="Contenudetableau"/>
              <w:snapToGrid w:val="0"/>
              <w:ind w:left="1" w:right="1" w:firstLine="0"/>
            </w:pPr>
            <w:r>
              <w:rPr>
                <w:noProof/>
                <w:lang w:eastAsia="fr-FR"/>
              </w:rPr>
              <w:drawing>
                <wp:inline distT="0" distB="0" distL="0" distR="0">
                  <wp:extent cx="3390900" cy="5715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90900" cy="571500"/>
                          </a:xfrm>
                          <a:prstGeom prst="rect">
                            <a:avLst/>
                          </a:prstGeom>
                          <a:solidFill>
                            <a:srgbClr val="FFFFFF"/>
                          </a:solidFill>
                          <a:ln w="9525">
                            <a:noFill/>
                            <a:miter lim="800000"/>
                            <a:headEnd/>
                            <a:tailEnd/>
                          </a:ln>
                        </pic:spPr>
                      </pic:pic>
                    </a:graphicData>
                  </a:graphic>
                </wp:inline>
              </w:drawing>
            </w:r>
          </w:p>
        </w:tc>
        <w:tc>
          <w:tcPr>
            <w:tcW w:w="3947" w:type="dxa"/>
            <w:shd w:val="clear" w:color="auto" w:fill="auto"/>
          </w:tcPr>
          <w:p w:rsidR="006817C1" w:rsidRDefault="00D87639">
            <w:pPr>
              <w:pStyle w:val="Contenudetableau"/>
              <w:snapToGrid w:val="0"/>
              <w:ind w:left="1" w:right="1" w:hanging="9"/>
              <w:jc w:val="center"/>
            </w:pPr>
            <w:r>
              <w:rPr>
                <w:rFonts w:ascii="Calibri" w:hAnsi="Calibri" w:cs="Calibri"/>
                <w:noProof/>
                <w:sz w:val="22"/>
                <w:szCs w:val="22"/>
              </w:rPr>
              <w:drawing>
                <wp:inline distT="0" distB="0" distL="0" distR="0" wp14:anchorId="4506A618" wp14:editId="2B1ED1A5">
                  <wp:extent cx="1017905" cy="517525"/>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b="-49609"/>
                          <a:stretch>
                            <a:fillRect/>
                          </a:stretch>
                        </pic:blipFill>
                        <pic:spPr bwMode="auto">
                          <a:xfrm>
                            <a:off x="0" y="0"/>
                            <a:ext cx="1017905" cy="517525"/>
                          </a:xfrm>
                          <a:prstGeom prst="rect">
                            <a:avLst/>
                          </a:prstGeom>
                          <a:noFill/>
                          <a:ln>
                            <a:noFill/>
                          </a:ln>
                        </pic:spPr>
                      </pic:pic>
                    </a:graphicData>
                  </a:graphic>
                </wp:inline>
              </w:drawing>
            </w:r>
          </w:p>
        </w:tc>
      </w:tr>
    </w:tbl>
    <w:p w:rsidR="006817C1" w:rsidRDefault="006817C1">
      <w:pPr>
        <w:pStyle w:val="En-tte"/>
        <w:jc w:val="center"/>
      </w:pPr>
    </w:p>
    <w:tbl>
      <w:tblPr>
        <w:tblW w:w="0" w:type="auto"/>
        <w:tblInd w:w="132" w:type="dxa"/>
        <w:tblLayout w:type="fixed"/>
        <w:tblCellMar>
          <w:top w:w="55" w:type="dxa"/>
          <w:left w:w="55" w:type="dxa"/>
          <w:bottom w:w="55" w:type="dxa"/>
          <w:right w:w="55" w:type="dxa"/>
        </w:tblCellMar>
        <w:tblLook w:val="0000" w:firstRow="0" w:lastRow="0" w:firstColumn="0" w:lastColumn="0" w:noHBand="0" w:noVBand="0"/>
      </w:tblPr>
      <w:tblGrid>
        <w:gridCol w:w="9214"/>
      </w:tblGrid>
      <w:tr w:rsidR="006817C1" w:rsidTr="00D87639">
        <w:tc>
          <w:tcPr>
            <w:tcW w:w="9214" w:type="dxa"/>
            <w:tcBorders>
              <w:top w:val="single" w:sz="8" w:space="0" w:color="000000"/>
              <w:left w:val="single" w:sz="8" w:space="0" w:color="000000"/>
              <w:bottom w:val="single" w:sz="8" w:space="0" w:color="000000"/>
              <w:right w:val="single" w:sz="8" w:space="0" w:color="000000"/>
            </w:tcBorders>
            <w:shd w:val="clear" w:color="auto" w:fill="auto"/>
          </w:tcPr>
          <w:p w:rsidR="006817C1" w:rsidRDefault="009A6A16" w:rsidP="00D87639">
            <w:pPr>
              <w:snapToGrid w:val="0"/>
              <w:ind w:left="1" w:right="1" w:firstLine="19"/>
              <w:jc w:val="center"/>
              <w:rPr>
                <w:rFonts w:ascii="Calibri" w:hAnsi="Calibri"/>
                <w:b/>
                <w:szCs w:val="24"/>
              </w:rPr>
            </w:pPr>
            <w:r>
              <w:rPr>
                <w:rFonts w:ascii="Calibri" w:hAnsi="Calibri"/>
                <w:b/>
                <w:caps/>
                <w:szCs w:val="24"/>
              </w:rPr>
              <w:t>E</w:t>
            </w:r>
            <w:r>
              <w:rPr>
                <w:rFonts w:ascii="Calibri" w:hAnsi="Calibri"/>
                <w:b/>
                <w:szCs w:val="24"/>
              </w:rPr>
              <w:t>cole d’été de microscopie électronique à balayage et de microanalyses</w:t>
            </w:r>
          </w:p>
          <w:p w:rsidR="00D87639" w:rsidRPr="00D87639" w:rsidRDefault="00D87639" w:rsidP="00D87639">
            <w:pPr>
              <w:snapToGrid w:val="0"/>
              <w:ind w:left="1" w:right="1" w:firstLine="19"/>
              <w:jc w:val="center"/>
              <w:rPr>
                <w:rFonts w:ascii="Calibri" w:hAnsi="Calibri"/>
                <w:b/>
                <w:szCs w:val="24"/>
              </w:rPr>
            </w:pPr>
            <w:r>
              <w:rPr>
                <w:rFonts w:ascii="Calibri" w:hAnsi="Calibri"/>
                <w:b/>
                <w:szCs w:val="24"/>
              </w:rPr>
              <w:t>Bordeaux, 3-7 juillet 2017</w:t>
            </w:r>
          </w:p>
        </w:tc>
      </w:tr>
    </w:tbl>
    <w:p w:rsidR="006817C1" w:rsidRDefault="006817C1">
      <w:pPr>
        <w:ind w:firstLine="9"/>
      </w:pPr>
    </w:p>
    <w:p w:rsidR="006817C1" w:rsidRDefault="006817C1"/>
    <w:p w:rsidR="006817C1" w:rsidRDefault="006817C1">
      <w:bookmarkStart w:id="0" w:name="_GoBack"/>
      <w:bookmarkEnd w:id="0"/>
    </w:p>
    <w:p w:rsidR="006817C1" w:rsidRDefault="009A6A16">
      <w:pPr>
        <w:ind w:firstLine="0"/>
        <w:jc w:val="center"/>
        <w:rPr>
          <w:b/>
          <w:bCs/>
          <w:sz w:val="32"/>
        </w:rPr>
      </w:pPr>
      <w:r>
        <w:rPr>
          <w:b/>
          <w:bCs/>
          <w:sz w:val="32"/>
        </w:rPr>
        <w:t xml:space="preserve">TD au choix – STEM </w:t>
      </w:r>
    </w:p>
    <w:p w:rsidR="006817C1" w:rsidRDefault="006817C1">
      <w:pPr>
        <w:ind w:firstLine="0"/>
        <w:jc w:val="center"/>
        <w:rPr>
          <w:szCs w:val="24"/>
        </w:rPr>
      </w:pPr>
    </w:p>
    <w:p w:rsidR="006817C1" w:rsidRDefault="009A6A16">
      <w:pPr>
        <w:jc w:val="center"/>
        <w:rPr>
          <w:b/>
          <w:bCs/>
          <w:szCs w:val="24"/>
        </w:rPr>
      </w:pPr>
      <w:r>
        <w:rPr>
          <w:b/>
          <w:bCs/>
          <w:szCs w:val="24"/>
        </w:rPr>
        <w:t>Coordinateur : Frédéric Charlot</w:t>
      </w:r>
    </w:p>
    <w:p w:rsidR="006817C1" w:rsidRDefault="006817C1">
      <w:pPr>
        <w:jc w:val="center"/>
      </w:pPr>
    </w:p>
    <w:p w:rsidR="006817C1" w:rsidRDefault="009A6A16">
      <w:pPr>
        <w:pStyle w:val="Adresseauteurs"/>
      </w:pPr>
      <w:r>
        <w:t>Consortium des Moyens Technologiques Communs</w:t>
      </w:r>
    </w:p>
    <w:p w:rsidR="006817C1" w:rsidRDefault="009A6A16">
      <w:pPr>
        <w:pStyle w:val="Adresseauteurs"/>
      </w:pPr>
      <w:r>
        <w:t>Grenoble INP - CMTC, 1260 rue de la piscine - BP 75, 38402 Saint Martin d'Hères Cedex</w:t>
      </w:r>
    </w:p>
    <w:p w:rsidR="006817C1" w:rsidRDefault="006817C1">
      <w:pPr>
        <w:pStyle w:val="Adresseauteurs"/>
      </w:pPr>
    </w:p>
    <w:p w:rsidR="006817C1" w:rsidRDefault="009A6A16">
      <w:pPr>
        <w:pStyle w:val="Adresseauteurs"/>
        <w:rPr>
          <w:rStyle w:val="Lienhypertexte"/>
        </w:rPr>
      </w:pPr>
      <w:r>
        <w:rPr>
          <w:rStyle w:val="Lienhypertexte"/>
        </w:rPr>
        <w:t>frederic.charlot@cmtc.grenoble-inp.fr</w:t>
      </w:r>
    </w:p>
    <w:p w:rsidR="006817C1" w:rsidRDefault="006817C1">
      <w:pPr>
        <w:pStyle w:val="Adresseauteurs"/>
      </w:pPr>
    </w:p>
    <w:p w:rsidR="006817C1" w:rsidRDefault="006817C1">
      <w:pPr>
        <w:pStyle w:val="Adresseauteurs"/>
      </w:pPr>
    </w:p>
    <w:p w:rsidR="006817C1" w:rsidRDefault="006817C1">
      <w:pPr>
        <w:pStyle w:val="Adresseauteurs"/>
      </w:pPr>
    </w:p>
    <w:p w:rsidR="006817C1" w:rsidRDefault="006817C1">
      <w:pPr>
        <w:pStyle w:val="Adresseauteurs"/>
      </w:pPr>
    </w:p>
    <w:p w:rsidR="006817C1" w:rsidRDefault="006817C1">
      <w:pPr>
        <w:pStyle w:val="Adresseauteurs"/>
      </w:pPr>
    </w:p>
    <w:p w:rsidR="006817C1" w:rsidRDefault="006817C1">
      <w:pPr>
        <w:pStyle w:val="Adresseauteurs"/>
      </w:pPr>
    </w:p>
    <w:p w:rsidR="006817C1" w:rsidRDefault="009A6A16">
      <w:pPr>
        <w:pStyle w:val="Titre1"/>
      </w:pPr>
      <w:r>
        <w:t>Principe du MEB STEM</w:t>
      </w:r>
    </w:p>
    <w:p w:rsidR="006817C1" w:rsidRDefault="006817C1"/>
    <w:p w:rsidR="006817C1" w:rsidRDefault="009A6A16">
      <w:r>
        <w:t>Il est possible d'obtenir une image en électrons transmis dans un MEB en utilisant un détecteur spécifique.</w:t>
      </w:r>
    </w:p>
    <w:p w:rsidR="006817C1" w:rsidRDefault="009A6A16">
      <w:r>
        <w:t xml:space="preserve">Lorsque le faisceau d’électrons traverse un échantillon mince ou une réplique, il subit des interactions plus ou moins fortes avec les atomes de la matière, formant ainsi un faisceau transmis direct et un faisceau transmis diffusé. </w:t>
      </w:r>
    </w:p>
    <w:p w:rsidR="006817C1" w:rsidRDefault="006817C1"/>
    <w:p w:rsidR="006817C1" w:rsidRDefault="009A6A16">
      <w:r>
        <w:t>Il existe plusieurs types de détecteurs STEM actuellement. Le détecteur est positionné sous l'échantillon mince. La zone de détection peut être annulaire ou non. Il peut y avoir plusieurs zones de détections. Le principe est présenté figure 1.</w:t>
      </w:r>
    </w:p>
    <w:p w:rsidR="006817C1" w:rsidRDefault="009A6A16">
      <w:r>
        <w:t xml:space="preserve">Le but est de collecter : </w:t>
      </w:r>
    </w:p>
    <w:p w:rsidR="006817C1" w:rsidRDefault="009A6A16">
      <w:pPr>
        <w:numPr>
          <w:ilvl w:val="0"/>
          <w:numId w:val="5"/>
        </w:numPr>
      </w:pPr>
      <w:r>
        <w:t xml:space="preserve">Soit les électrons transmis direct. Cette image </w:t>
      </w:r>
      <w:proofErr w:type="gramStart"/>
      <w:r>
        <w:t>a</w:t>
      </w:r>
      <w:proofErr w:type="gramEnd"/>
      <w:r>
        <w:t xml:space="preserve"> un contraste semblable à une image MET en fond clair. </w:t>
      </w:r>
    </w:p>
    <w:p w:rsidR="006817C1" w:rsidRDefault="009A6A16">
      <w:pPr>
        <w:numPr>
          <w:ilvl w:val="0"/>
          <w:numId w:val="5"/>
        </w:numPr>
      </w:pPr>
      <w:r>
        <w:t xml:space="preserve">Soit les électrons diffusés. Cette image </w:t>
      </w:r>
      <w:proofErr w:type="gramStart"/>
      <w:r>
        <w:t>a</w:t>
      </w:r>
      <w:proofErr w:type="gramEnd"/>
      <w:r>
        <w:t xml:space="preserve"> un contraste semblable à une image MET en fond sombre.</w:t>
      </w:r>
    </w:p>
    <w:p w:rsidR="006817C1" w:rsidRDefault="006817C1">
      <w:pPr>
        <w:ind w:firstLine="0"/>
      </w:pPr>
    </w:p>
    <w:p w:rsidR="006817C1" w:rsidRDefault="009A6A16">
      <w:r>
        <w:t>La figure 2 donne un exemple des différents types d'image décrits ci-dessus.</w:t>
      </w:r>
    </w:p>
    <w:p w:rsidR="006817C1" w:rsidRDefault="006817C1"/>
    <w:p w:rsidR="006817C1" w:rsidRDefault="006817C1">
      <w:pPr>
        <w:pageBreakBefore/>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19"/>
      </w:tblGrid>
      <w:tr w:rsidR="006817C1">
        <w:tc>
          <w:tcPr>
            <w:tcW w:w="4819" w:type="dxa"/>
            <w:shd w:val="clear" w:color="auto" w:fill="auto"/>
          </w:tcPr>
          <w:p w:rsidR="006817C1" w:rsidRDefault="0037280F">
            <w:pPr>
              <w:pStyle w:val="Contenudetableau"/>
              <w:snapToGrid w:val="0"/>
              <w:ind w:firstLine="0"/>
              <w:jc w:val="center"/>
            </w:pPr>
            <w:r>
              <w:rPr>
                <w:noProof/>
                <w:lang w:eastAsia="fr-FR"/>
              </w:rPr>
              <w:drawing>
                <wp:inline distT="0" distB="0" distL="0" distR="0">
                  <wp:extent cx="2057400" cy="252412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057400" cy="2524125"/>
                          </a:xfrm>
                          <a:prstGeom prst="rect">
                            <a:avLst/>
                          </a:prstGeom>
                          <a:solidFill>
                            <a:srgbClr val="FFFFFF"/>
                          </a:solidFill>
                          <a:ln w="9525">
                            <a:noFill/>
                            <a:miter lim="800000"/>
                            <a:headEnd/>
                            <a:tailEnd/>
                          </a:ln>
                        </pic:spPr>
                      </pic:pic>
                    </a:graphicData>
                  </a:graphic>
                </wp:inline>
              </w:drawing>
            </w:r>
            <w:r w:rsidR="009A6A16">
              <w:t>(a)</w:t>
            </w:r>
          </w:p>
        </w:tc>
        <w:tc>
          <w:tcPr>
            <w:tcW w:w="4819" w:type="dxa"/>
            <w:shd w:val="clear" w:color="auto" w:fill="auto"/>
          </w:tcPr>
          <w:p w:rsidR="006817C1" w:rsidRDefault="006817C1">
            <w:pPr>
              <w:pStyle w:val="Contenudetableau"/>
              <w:snapToGrid w:val="0"/>
              <w:ind w:firstLine="0"/>
              <w:jc w:val="center"/>
            </w:pPr>
          </w:p>
          <w:p w:rsidR="006817C1" w:rsidRDefault="0037280F">
            <w:pPr>
              <w:pStyle w:val="Contenudetableau"/>
              <w:ind w:firstLine="0"/>
              <w:jc w:val="center"/>
            </w:pPr>
            <w:r>
              <w:rPr>
                <w:noProof/>
                <w:lang w:eastAsia="fr-FR"/>
              </w:rPr>
              <w:drawing>
                <wp:anchor distT="0" distB="0" distL="0" distR="0" simplePos="0" relativeHeight="251656192" behindDoc="0" locked="0" layoutInCell="1" allowOverlap="1">
                  <wp:simplePos x="0" y="0"/>
                  <wp:positionH relativeFrom="column">
                    <wp:align>center</wp:align>
                  </wp:positionH>
                  <wp:positionV relativeFrom="paragraph">
                    <wp:posOffset>0</wp:posOffset>
                  </wp:positionV>
                  <wp:extent cx="1798955" cy="1808480"/>
                  <wp:effectExtent l="19050" t="0" r="0" b="0"/>
                  <wp:wrapTopAndBottom/>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798955" cy="1808480"/>
                          </a:xfrm>
                          <a:prstGeom prst="rect">
                            <a:avLst/>
                          </a:prstGeom>
                          <a:solidFill>
                            <a:srgbClr val="FFFFFF"/>
                          </a:solidFill>
                          <a:ln w="9525">
                            <a:noFill/>
                            <a:miter lim="800000"/>
                            <a:headEnd/>
                            <a:tailEnd/>
                          </a:ln>
                        </pic:spPr>
                      </pic:pic>
                    </a:graphicData>
                  </a:graphic>
                </wp:anchor>
              </w:drawing>
            </w:r>
            <w:r w:rsidR="009A6A16">
              <w:t>(b)</w:t>
            </w:r>
          </w:p>
        </w:tc>
      </w:tr>
    </w:tbl>
    <w:p w:rsidR="006817C1" w:rsidRDefault="009A6A16">
      <w:pPr>
        <w:pStyle w:val="Lgendefigure"/>
      </w:pPr>
      <w:r>
        <w:t>Figure 1 : Principe de la détection par STEM. Les diodes de détection peuvent être soient concentriques (a), soient par secteurs (b). L'obtention d'une image en fond clair ou en en fond sombre dépend de quelle zone de  détection est utilisée et quelle est la position de la grille.</w:t>
      </w:r>
    </w:p>
    <w:p w:rsidR="006817C1" w:rsidRDefault="006817C1">
      <w:pPr>
        <w:pStyle w:val="Corpsdetextecentr"/>
      </w:pPr>
    </w:p>
    <w:p w:rsidR="006817C1" w:rsidRDefault="006817C1">
      <w:pPr>
        <w:pStyle w:val="Corpsdetextecent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19"/>
      </w:tblGrid>
      <w:tr w:rsidR="006817C1">
        <w:tc>
          <w:tcPr>
            <w:tcW w:w="4819" w:type="dxa"/>
            <w:shd w:val="clear" w:color="auto" w:fill="auto"/>
          </w:tcPr>
          <w:p w:rsidR="006817C1" w:rsidRDefault="009A6A16">
            <w:pPr>
              <w:pStyle w:val="Contenudetableau"/>
              <w:snapToGrid w:val="0"/>
              <w:ind w:firstLine="0"/>
              <w:jc w:val="center"/>
            </w:pPr>
            <w:r>
              <w:t>(a)</w:t>
            </w:r>
            <w:r w:rsidR="0037280F">
              <w:rPr>
                <w:noProof/>
                <w:lang w:eastAsia="fr-FR"/>
              </w:rPr>
              <w:drawing>
                <wp:anchor distT="0" distB="0" distL="0" distR="0" simplePos="0" relativeHeight="251653120" behindDoc="0" locked="0" layoutInCell="1" allowOverlap="1">
                  <wp:simplePos x="0" y="0"/>
                  <wp:positionH relativeFrom="column">
                    <wp:align>center</wp:align>
                  </wp:positionH>
                  <wp:positionV relativeFrom="paragraph">
                    <wp:posOffset>0</wp:posOffset>
                  </wp:positionV>
                  <wp:extent cx="2987675" cy="2239645"/>
                  <wp:effectExtent l="19050" t="0" r="3175" b="0"/>
                  <wp:wrapTopAndBottom/>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987675" cy="2239645"/>
                          </a:xfrm>
                          <a:prstGeom prst="rect">
                            <a:avLst/>
                          </a:prstGeom>
                          <a:solidFill>
                            <a:srgbClr val="FFFFFF"/>
                          </a:solidFill>
                          <a:ln w="9525">
                            <a:noFill/>
                            <a:miter lim="800000"/>
                            <a:headEnd/>
                            <a:tailEnd/>
                          </a:ln>
                        </pic:spPr>
                      </pic:pic>
                    </a:graphicData>
                  </a:graphic>
                </wp:anchor>
              </w:drawing>
            </w:r>
          </w:p>
        </w:tc>
        <w:tc>
          <w:tcPr>
            <w:tcW w:w="4819" w:type="dxa"/>
            <w:shd w:val="clear" w:color="auto" w:fill="auto"/>
          </w:tcPr>
          <w:p w:rsidR="006817C1" w:rsidRDefault="009A6A16">
            <w:pPr>
              <w:pStyle w:val="Contenudetableau"/>
              <w:snapToGrid w:val="0"/>
              <w:ind w:firstLine="0"/>
              <w:jc w:val="center"/>
            </w:pPr>
            <w:r>
              <w:t>(</w:t>
            </w:r>
            <w:r w:rsidR="0037280F">
              <w:rPr>
                <w:noProof/>
                <w:lang w:eastAsia="fr-FR"/>
              </w:rPr>
              <w:drawing>
                <wp:anchor distT="0" distB="0" distL="0" distR="0" simplePos="0" relativeHeight="251654144" behindDoc="0" locked="0" layoutInCell="1" allowOverlap="1">
                  <wp:simplePos x="0" y="0"/>
                  <wp:positionH relativeFrom="column">
                    <wp:align>center</wp:align>
                  </wp:positionH>
                  <wp:positionV relativeFrom="paragraph">
                    <wp:posOffset>0</wp:posOffset>
                  </wp:positionV>
                  <wp:extent cx="2987675" cy="2239645"/>
                  <wp:effectExtent l="19050" t="0" r="3175" b="0"/>
                  <wp:wrapTopAndBottom/>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987675" cy="2239645"/>
                          </a:xfrm>
                          <a:prstGeom prst="rect">
                            <a:avLst/>
                          </a:prstGeom>
                          <a:solidFill>
                            <a:srgbClr val="FFFFFF"/>
                          </a:solidFill>
                          <a:ln w="9525">
                            <a:noFill/>
                            <a:miter lim="800000"/>
                            <a:headEnd/>
                            <a:tailEnd/>
                          </a:ln>
                        </pic:spPr>
                      </pic:pic>
                    </a:graphicData>
                  </a:graphic>
                </wp:anchor>
              </w:drawing>
            </w:r>
            <w:r>
              <w:t>b)</w:t>
            </w:r>
          </w:p>
        </w:tc>
      </w:tr>
    </w:tbl>
    <w:p w:rsidR="006817C1" w:rsidRDefault="009A6A16">
      <w:pPr>
        <w:pStyle w:val="Lgendefigure"/>
      </w:pPr>
      <w:r>
        <w:t>Figure 2 : Image obtenue par l'utilisation d'un détecteur STEM, (a) en champ clair, (b) en champ sombre.</w:t>
      </w:r>
    </w:p>
    <w:p w:rsidR="006817C1" w:rsidRDefault="006817C1"/>
    <w:p w:rsidR="006817C1" w:rsidRDefault="006817C1"/>
    <w:p w:rsidR="006817C1" w:rsidRDefault="009A6A16">
      <w:r>
        <w:t xml:space="preserve">Il existe depuis quelques années la possibilité de réaliser des images STEM en milieu humide. Cette technique est appelée </w:t>
      </w:r>
      <w:proofErr w:type="spellStart"/>
      <w:r>
        <w:t>Wet</w:t>
      </w:r>
      <w:proofErr w:type="spellEnd"/>
      <w:r>
        <w:t xml:space="preserve"> STEM. L'observation se réalise alors dans un MEB à pression contrôlée. Le détecteur STEM est installé sur une platine Peltier. Il est, en effet, nécessaire de refroidir l'échantillon et de travailler à haute pression (P &gt; 600 Pa à 0°C) pour pouvoir observer l'objet avec une humidité relative pouvant atteindre 100 %. Ce type de détecteur permet aussi l'obtention d'images en fond clair et fond sombre. </w:t>
      </w:r>
    </w:p>
    <w:p w:rsidR="006817C1" w:rsidRDefault="009A6A16">
      <w:r>
        <w:t xml:space="preserve">La figure 3 montre un exemple de ce type d'observation. </w:t>
      </w:r>
    </w:p>
    <w:p w:rsidR="006817C1" w:rsidRDefault="006817C1"/>
    <w:p w:rsidR="006817C1" w:rsidRDefault="009A6A16">
      <w:r>
        <w:t>Attention ce TD se déroulera uniquement en Haut vide.</w:t>
      </w:r>
    </w:p>
    <w:p w:rsidR="006817C1" w:rsidRDefault="006817C1"/>
    <w:p w:rsidR="006817C1" w:rsidRDefault="006817C1"/>
    <w:p w:rsidR="006817C1" w:rsidRDefault="006817C1">
      <w:pPr>
        <w:pageBreakBefore/>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6817C1">
        <w:tc>
          <w:tcPr>
            <w:tcW w:w="4819" w:type="dxa"/>
            <w:shd w:val="clear" w:color="auto" w:fill="auto"/>
          </w:tcPr>
          <w:p w:rsidR="006817C1" w:rsidRDefault="0037280F">
            <w:pPr>
              <w:pStyle w:val="Contenudetableau"/>
              <w:snapToGrid w:val="0"/>
              <w:ind w:firstLine="0"/>
              <w:jc w:val="center"/>
            </w:pPr>
            <w:r>
              <w:rPr>
                <w:noProof/>
                <w:lang w:eastAsia="fr-FR"/>
              </w:rPr>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2988945" cy="2752090"/>
                  <wp:effectExtent l="19050" t="0" r="1905" b="0"/>
                  <wp:wrapTopAndBottom/>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988945" cy="2752090"/>
                          </a:xfrm>
                          <a:prstGeom prst="rect">
                            <a:avLst/>
                          </a:prstGeom>
                          <a:solidFill>
                            <a:srgbClr val="FFFFFF"/>
                          </a:solidFill>
                          <a:ln w="9525">
                            <a:noFill/>
                            <a:miter lim="800000"/>
                            <a:headEnd/>
                            <a:tailEnd/>
                          </a:ln>
                        </pic:spPr>
                      </pic:pic>
                    </a:graphicData>
                  </a:graphic>
                </wp:anchor>
              </w:drawing>
            </w:r>
            <w:r w:rsidR="00125B7E">
              <w:rPr>
                <w:noProof/>
                <w:lang w:eastAsia="fr-FR"/>
              </w:rPr>
              <mc:AlternateContent>
                <mc:Choice Requires="wps">
                  <w:drawing>
                    <wp:anchor distT="0" distB="0" distL="114300" distR="114300" simplePos="0" relativeHeight="251659264" behindDoc="0" locked="0" layoutInCell="1" allowOverlap="1">
                      <wp:simplePos x="0" y="0"/>
                      <wp:positionH relativeFrom="column">
                        <wp:posOffset>2740660</wp:posOffset>
                      </wp:positionH>
                      <wp:positionV relativeFrom="paragraph">
                        <wp:posOffset>2177415</wp:posOffset>
                      </wp:positionV>
                      <wp:extent cx="492125" cy="138430"/>
                      <wp:effectExtent l="47625" t="85725" r="22225" b="23495"/>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2125" cy="138430"/>
                              </a:xfrm>
                              <a:prstGeom prst="line">
                                <a:avLst/>
                              </a:prstGeom>
                              <a:noFill/>
                              <a:ln w="3636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7FF94" id="Line 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pt,171.45pt" to="254.5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kbOwIAAGQEAAAOAAAAZHJzL2Uyb0RvYy54bWysVE2P2jAQvVfqf7B8h3yQpRARVlUC7YG2&#10;SLvt3dgOserYlm0IqOp/79iw7G57qarm4IzjmTdvZp6zuD/1Eh25dUKrCmfjFCOuqGZC7Sv89XE9&#10;mmHkPFGMSK14hc/c4fvl2zeLwZQ8152WjFsEIMqVg6lw570pk8TRjvfEjbXhCg5bbXviYWv3CbNk&#10;APReJnmaTpNBW2asptw5+NpcDvEy4rctp/5L2zrukawwcPNxtXHdhTVZLki5t8R0gl5pkH9g0ROh&#10;IOkNqiGeoIMVf0D1glrtdOvHVPeJbltBeawBqsnS36p56IjhsRZojjO3Nrn/B0s/H7cWCVbhHNqj&#10;SA8z2gjF0Sy0ZjCuBI9abW0ojp7Ug9lo+t0hpeuOqD2PFB/PBsKyEJG8CgkbZyDBbvikGfiQg9ex&#10;T6fW9qiVwnwMgdH6FqyQBrqCTnFE59uI+MkjCh+LeZ7ldxhROMoms2ISR5iQMgCGYGOd/8B1j4JR&#10;YQm1RFBy3DgfCD67BHel10LKqAKp0FDhyXQyTWOE01KwcBr8nN3vamnRkYCQ1vGJ5cLJSzerD4pF&#10;tI4TtrranggJNvKxT94K6JzkOKTrOcNIcrg7wbrwkypkhIqB8dW6aOnHPJ2vZqtZMSry6WpUpE0z&#10;er+ui9F0nb27ayZNXTfZz0A+K8pOMMZV4P+k66z4O91cb9hFkTdl3zqVvEaPLQWyT+9IOsogTP6i&#10;oZ1m560N1QVFgJSj8/Xahbvych+9nn8Oy18AAAD//wMAUEsDBBQABgAIAAAAIQABExMV4AAAAAsB&#10;AAAPAAAAZHJzL2Rvd25yZXYueG1sTI/LTsMwEEX3SPyDNUjsqJ02DU2IU1UINjwWlH6AGw92ILaj&#10;2G3D33e6guXMHN05t15PrmdHHGMXvIRsJoChb4PuvJGw+3y+WwGLSXmt+uBRwi9GWDfXV7WqdDj5&#10;Dzxuk2EU4mOlJNiUhorz2Fp0Ks7CgJ5uX2F0KtE4Gq5HdaJw1/O5EAV3qvP0waoBHy22P9uDk2Be&#10;lmL3Xb5Pb0/camcG97raOClvb6bNA7CEU/qD4aJP6tCQ0z4cvI6sl5AvsoJQCYt8XgIjYinKDNie&#10;NkV+D7yp+f8OzRkAAP//AwBQSwECLQAUAAYACAAAACEAtoM4kv4AAADhAQAAEwAAAAAAAAAAAAAA&#10;AAAAAAAAW0NvbnRlbnRfVHlwZXNdLnhtbFBLAQItABQABgAIAAAAIQA4/SH/1gAAAJQBAAALAAAA&#10;AAAAAAAAAAAAAC8BAABfcmVscy8ucmVsc1BLAQItABQABgAIAAAAIQBu7skbOwIAAGQEAAAOAAAA&#10;AAAAAAAAAAAAAC4CAABkcnMvZTJvRG9jLnhtbFBLAQItABQABgAIAAAAIQABExMV4AAAAAsBAAAP&#10;AAAAAAAAAAAAAAAAAJUEAABkcnMvZG93bnJldi54bWxQSwUGAAAAAAQABADzAAAAogUAAAAA&#10;" strokecolor="white" strokeweight="1.01mm">
                      <v:stroke endarrow="block"/>
                    </v:line>
                  </w:pict>
                </mc:Fallback>
              </mc:AlternateContent>
            </w:r>
            <w:r w:rsidR="00125B7E">
              <w:rPr>
                <w:noProof/>
                <w:lang w:eastAsia="fr-FR"/>
              </w:rPr>
              <mc:AlternateContent>
                <mc:Choice Requires="wps">
                  <w:drawing>
                    <wp:anchor distT="0" distB="0" distL="114300" distR="114300" simplePos="0" relativeHeight="251662336" behindDoc="0" locked="0" layoutInCell="1" allowOverlap="1">
                      <wp:simplePos x="0" y="0"/>
                      <wp:positionH relativeFrom="column">
                        <wp:posOffset>2834640</wp:posOffset>
                      </wp:positionH>
                      <wp:positionV relativeFrom="paragraph">
                        <wp:posOffset>2315845</wp:posOffset>
                      </wp:positionV>
                      <wp:extent cx="1135380" cy="19812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17C1" w:rsidRDefault="009A6A16">
                                  <w:pPr>
                                    <w:rPr>
                                      <w:color w:val="FFFFFF"/>
                                    </w:rPr>
                                  </w:pPr>
                                  <w:r>
                                    <w:rPr>
                                      <w:color w:val="FFFFFF"/>
                                    </w:rPr>
                                    <w:t>Film d'eau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23.2pt;margin-top:182.35pt;width:89.4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9OFngIAAJIFAAAOAAAAZHJzL2Uyb0RvYy54bWysVF1vmzAUfZ+0/2D5nfIRkgIqqdIQpknd&#10;h9TuBzhggjWwme0Eumn/fdcmpEmrSdM2HtDFvj73Hp/Dvbkd2gYdqFRM8BT7Vx5GlBeiZHyX4i+P&#10;uRNhpDThJWkEpyl+ogrfLt++uem7hAaiFk1JJQIQrpK+S3GtdZe4ripq2hJ1JTrKYbMSsiUaPuXO&#10;LSXpAb1t3MDzFm4vZNlJUVClYDUbN/HS4lcVLfSnqlJUoybF0Ju2b2nfW/N2lzck2UnS1aw4tkH+&#10;oouWMA5FT1AZ0QTtJXsF1bJCCiUqfVWI1hVVxQpqOQAb33vB5qEmHbVc4HJUd7om9f9gi4+HzxKx&#10;ErSLMeKkBY0e6aDRnRiQ75v76TuVQNpDB4l6gHXItVxVdy+Krwpxsa4J39GVlKKvKSmhP3vSPTs6&#10;4igDsu0/iBLqkL0WFmioZGsuD64DATro9HTSxvRSmJL+bD6LYKuAPT+O/MCK55JkOt1Jpd9R0SIT&#10;pFiC9hadHO6VBh6QOqWYYlzkrGms/g2/WIDEcQVqw1GzZ7qwcv6IvXgTbaLQCYPFxgm9LHNW+Tp0&#10;Frl/Pc9m2Xqd+T9NXT9MalaWlJsyk7X88M+kO5p8NMXJXEo0rDRwpiUld9t1I9GBgLVz+xi1oPmz&#10;NPeyDbsNXF5Q8oPQuwtiJ19E106Yh3MnvvYix/Pju3jhhXGY5ZeU7hmn/04J9SmO58F8NNNvuXn2&#10;ec2NJFLseWkVNK7bHGNNWDPGZ+xNx8/s4ZImba1HjS1Hg+phOwCiMe5WlE/gVinATOA7GHIQ1EJ+&#10;x6iHgZFi9W1PJMWoec/B8Wa6TIGcgu0UEF7A0RRrjMZwre0UMkpwsYI/oWLWpM+VoV3zAT++bfw4&#10;pMxkOf+2Wc+jdPkLAAD//wMAUEsDBBQABgAIAAAAIQB5JLfX4AAAAAsBAAAPAAAAZHJzL2Rvd25y&#10;ZXYueG1sTI/BTsMwDIbvSLxDZCRuLKV0gZam04TghIToyoFj2mRttMYpTbaVt8ec4Gj70+/vLzeL&#10;G9nJzMF6lHC7SoAZ7Ly22Ev4aF5uHoCFqFCr0aOR8G0CbKrLi1IV2p+xNqdd7BmFYCiUhCHGqeA8&#10;dINxKqz8ZJBuez87FWmce65ndaZwN/I0SQR3yiJ9GNRkngbTHXZHJ2H7ifWz/Xpr3+t9bZsmT/BV&#10;HKS8vlq2j8CiWeIfDL/6pA4VObX+iDqwUUKWiYxQCXciuwdGhEjXKbCWNvk6B16V/H+H6gcAAP//&#10;AwBQSwECLQAUAAYACAAAACEAtoM4kv4AAADhAQAAEwAAAAAAAAAAAAAAAAAAAAAAW0NvbnRlbnRf&#10;VHlwZXNdLnhtbFBLAQItABQABgAIAAAAIQA4/SH/1gAAAJQBAAALAAAAAAAAAAAAAAAAAC8BAABf&#10;cmVscy8ucmVsc1BLAQItABQABgAIAAAAIQD359OFngIAAJIFAAAOAAAAAAAAAAAAAAAAAC4CAABk&#10;cnMvZTJvRG9jLnhtbFBLAQItABQABgAIAAAAIQB5JLfX4AAAAAsBAAAPAAAAAAAAAAAAAAAAAPgE&#10;AABkcnMvZG93bnJldi54bWxQSwUGAAAAAAQABADzAAAABQYAAAAA&#10;" filled="f" stroked="f">
                      <v:stroke joinstyle="round"/>
                      <v:textbox inset="0,0,0,0">
                        <w:txbxContent>
                          <w:p w:rsidR="006817C1" w:rsidRDefault="009A6A16">
                            <w:pPr>
                              <w:rPr>
                                <w:color w:val="FFFFFF"/>
                              </w:rPr>
                            </w:pPr>
                            <w:r>
                              <w:rPr>
                                <w:color w:val="FFFFFF"/>
                              </w:rPr>
                              <w:t>Film d'eau</w:t>
                            </w:r>
                          </w:p>
                        </w:txbxContent>
                      </v:textbox>
                    </v:shape>
                  </w:pict>
                </mc:Fallback>
              </mc:AlternateContent>
            </w:r>
            <w:r w:rsidR="009A6A16">
              <w:t>(a)</w:t>
            </w:r>
          </w:p>
        </w:tc>
        <w:tc>
          <w:tcPr>
            <w:tcW w:w="4821" w:type="dxa"/>
            <w:shd w:val="clear" w:color="auto" w:fill="auto"/>
          </w:tcPr>
          <w:p w:rsidR="006817C1" w:rsidRDefault="0037280F">
            <w:pPr>
              <w:pStyle w:val="Contenudetableau"/>
              <w:snapToGrid w:val="0"/>
              <w:ind w:firstLine="0"/>
              <w:jc w:val="center"/>
            </w:pPr>
            <w:r>
              <w:rPr>
                <w:noProof/>
                <w:lang w:eastAsia="fr-FR"/>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2990215" cy="2753360"/>
                  <wp:effectExtent l="19050" t="0" r="635" b="0"/>
                  <wp:wrapTopAndBottom/>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90215" cy="2753360"/>
                          </a:xfrm>
                          <a:prstGeom prst="rect">
                            <a:avLst/>
                          </a:prstGeom>
                          <a:solidFill>
                            <a:srgbClr val="FFFFFF"/>
                          </a:solidFill>
                          <a:ln w="9525">
                            <a:noFill/>
                            <a:miter lim="800000"/>
                            <a:headEnd/>
                            <a:tailEnd/>
                          </a:ln>
                        </pic:spPr>
                      </pic:pic>
                    </a:graphicData>
                  </a:graphic>
                </wp:anchor>
              </w:drawing>
            </w:r>
            <w:r w:rsidR="00125B7E">
              <w:rPr>
                <w:noProof/>
                <w:lang w:eastAsia="fr-FR"/>
              </w:rPr>
              <mc:AlternateContent>
                <mc:Choice Requires="wps">
                  <w:drawing>
                    <wp:anchor distT="0" distB="0" distL="114300" distR="114300" simplePos="0" relativeHeight="251660288" behindDoc="0" locked="0" layoutInCell="1" allowOverlap="1">
                      <wp:simplePos x="0" y="0"/>
                      <wp:positionH relativeFrom="column">
                        <wp:posOffset>541020</wp:posOffset>
                      </wp:positionH>
                      <wp:positionV relativeFrom="paragraph">
                        <wp:posOffset>1609090</wp:posOffset>
                      </wp:positionV>
                      <wp:extent cx="448945" cy="551180"/>
                      <wp:effectExtent l="22225" t="69850" r="81280" b="2667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945" cy="551180"/>
                              </a:xfrm>
                              <a:prstGeom prst="line">
                                <a:avLst/>
                              </a:prstGeom>
                              <a:noFill/>
                              <a:ln w="3636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DE411" id="Line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26.7pt" to="77.9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uZNgIAAFoEAAAOAAAAZHJzL2Uyb0RvYy54bWysVMGO2jAQvVfqP1i+QxIIFCLCqkqgF9pF&#10;2u3eje0Qq45t2YaAqv57x4Zld9vLqmoOzjgz8/xm5jmLu1Mn0ZFbJ7QqcTZMMeKKaibUvsTfH9eD&#10;GUbOE8WI1IqX+Mwdvlt+/LDoTcFHutWScYsARLmiNyVuvTdFkjja8o64oTZcgbPRtiMetnafMEt6&#10;QO9kMkrTadJry4zVlDsHX+uLEy8jftNw6u+bxnGPZImBm4+rjesurMlyQYq9JaYV9EqD/AOLjggF&#10;h96gauIJOljxF1QnqNVON35IdZfophGUxxqgmiz9o5qHlhgea4HmOHNrk/t/sPTbcWuRYDA7mJQi&#10;HcxoIxRH89Ca3rgCIiq1taE4elIPZqPpD4eUrlqi9jxSfDwbSMtCRvImJWycgQN2/VfNIIYcvI59&#10;OjW2Q40U5ikkBnDoBTrFwZxvg+Enjyh8zPPZPJ9gRME1mWTZLA4uIUWACcnGOv+F6w4Fo8QSKoig&#10;5LhxPtB6CQnhSq+FlHH2UqG+xOPpeJrGDKelYMEb4pzd7ypp0ZGAfNbxiUWC53WY1QfFIlrLCVtd&#10;bU+EBBv52B1vBfRLchyO6zjDSHK4McG68JMqnAgVA+OrdVHQz3k6X81Ws3yQj6arQZ7W9eDzusoH&#10;03X2aVKP66qqs1+BfJYXrWCMq8D/Wc1Z/j61XO/VRYc3Pd86lbxFjy0Fss/vSDoOP8z7opydZuet&#10;DdUFHYCAY/D1soUb8nofo15+CcvfAAAA//8DAFBLAwQUAAYACAAAACEAqQfm3OEAAAAKAQAADwAA&#10;AGRycy9kb3ducmV2LnhtbEyPTU+DQBCG7yb+h82YeLNLaTGIDI0faYyHHqx46G0KIxDZWcJuW/TX&#10;uz3pcfI+ed9n8tVkenXk0XVWEOazCBRLZetOGoTyfX2TgnKepKbeCiN8s4NVcXmRU1bbk7zxcesb&#10;FUrEZYTQej9kWruqZUNuZgeWkH3a0ZAP59joeqRTKDe9jqPoVhvqJCy0NPBTy9XX9mAQps16ntqP&#10;V+PLl93u+bEqf8iWiNdX08M9KM+T/4PhrB/UoQhOe3uQ2qkeIU3iQCLEyWIJ6gwkyR2oPcJiGcWg&#10;i1z/f6H4BQAA//8DAFBLAQItABQABgAIAAAAIQC2gziS/gAAAOEBAAATAAAAAAAAAAAAAAAAAAAA&#10;AABbQ29udGVudF9UeXBlc10ueG1sUEsBAi0AFAAGAAgAAAAhADj9If/WAAAAlAEAAAsAAAAAAAAA&#10;AAAAAAAALwEAAF9yZWxzLy5yZWxzUEsBAi0AFAAGAAgAAAAhABuCC5k2AgAAWgQAAA4AAAAAAAAA&#10;AAAAAAAALgIAAGRycy9lMm9Eb2MueG1sUEsBAi0AFAAGAAgAAAAhAKkH5tzhAAAACgEAAA8AAAAA&#10;AAAAAAAAAAAAkAQAAGRycy9kb3ducmV2LnhtbFBLBQYAAAAABAAEAPMAAACeBQAAAAA=&#10;" strokecolor="white" strokeweight="1.01mm">
                      <v:stroke endarrow="block"/>
                    </v:line>
                  </w:pict>
                </mc:Fallback>
              </mc:AlternateContent>
            </w:r>
            <w:r w:rsidR="009A6A16">
              <w:t>(b)</w:t>
            </w:r>
          </w:p>
        </w:tc>
      </w:tr>
    </w:tbl>
    <w:p w:rsidR="006817C1" w:rsidRDefault="009A6A16">
      <w:pPr>
        <w:pStyle w:val="Lgendefigure"/>
      </w:pPr>
      <w:r>
        <w:t xml:space="preserve">Figure 3 : Images obtenues par </w:t>
      </w:r>
      <w:proofErr w:type="spellStart"/>
      <w:r>
        <w:t>Wet</w:t>
      </w:r>
      <w:proofErr w:type="spellEnd"/>
      <w:r>
        <w:t xml:space="preserve"> Stem d'une suspension de billes de polystyrène dans de l'eau. </w:t>
      </w:r>
    </w:p>
    <w:p w:rsidR="006817C1" w:rsidRDefault="009A6A16">
      <w:pPr>
        <w:pStyle w:val="Lgendefigure"/>
      </w:pPr>
      <w:r>
        <w:t>L'humidité relative est de 100% et la température de 3°C. Dans ces conditions, les billes sont encore partiellement entourées d'un film d'eau. (a) image globale. (b) zoom sur une zone.</w:t>
      </w:r>
    </w:p>
    <w:p w:rsidR="006817C1" w:rsidRDefault="009A6A16">
      <w:pPr>
        <w:pStyle w:val="Lgendefigure"/>
      </w:pPr>
      <w:r>
        <w:t>Images réalisées dans un MEB FEG Environnemental par Francine Roussel - CMTC.</w:t>
      </w:r>
    </w:p>
    <w:p w:rsidR="006817C1" w:rsidRDefault="006817C1"/>
    <w:p w:rsidR="006817C1" w:rsidRDefault="009A6A16">
      <w:pPr>
        <w:pStyle w:val="Titre1"/>
      </w:pPr>
      <w:r>
        <w:t>Les échantillons.</w:t>
      </w:r>
    </w:p>
    <w:p w:rsidR="006817C1" w:rsidRDefault="009A6A16">
      <w:pPr>
        <w:pStyle w:val="Titre2"/>
      </w:pPr>
      <w:r>
        <w:t>Généralités</w:t>
      </w:r>
    </w:p>
    <w:p w:rsidR="006817C1" w:rsidRDefault="009A6A16">
      <w:r>
        <w:t>Il est possible d'observer tous types d'échantillon en STEM dans un MEB. Les contraintes et les limites sont celles d'un MEB.</w:t>
      </w:r>
    </w:p>
    <w:p w:rsidR="006817C1" w:rsidRDefault="009A6A16">
      <w:r>
        <w:t xml:space="preserve">Pour obtenir une image en transmission sous STEM-MEB, les échantillons doivent être transparents aux électrons ! </w:t>
      </w:r>
    </w:p>
    <w:p w:rsidR="006817C1" w:rsidRDefault="009A6A16">
      <w:r>
        <w:t>La transmission des électrons au travers de la lame dépend de l'énergie des électrons incidents, donc de la tension d'accélération, et de l'absorption de l'échantillon, c'est à dire de l'épaisseur de la lame et de la densité du matériau (Z).</w:t>
      </w:r>
    </w:p>
    <w:p w:rsidR="006817C1" w:rsidRDefault="009A6A16">
      <w:r>
        <w:t xml:space="preserve">Classiquement, la tension d'accélération dans un MEB est limitée à 30 kV. Cette tension est bien inférieure aux tensions d'accélération dans un MET (100, 200 voire 300 kV). </w:t>
      </w:r>
    </w:p>
    <w:p w:rsidR="006817C1" w:rsidRDefault="006817C1"/>
    <w:p w:rsidR="006817C1" w:rsidRDefault="009A6A16">
      <w:r>
        <w:t xml:space="preserve">Les échantillons peuvent être de type métalliques, céramiques, polymères et biologiques. </w:t>
      </w:r>
    </w:p>
    <w:p w:rsidR="006817C1" w:rsidRDefault="009A6A16">
      <w:r>
        <w:t>La préparation d'un échantillon mince est identique à celle des lames minces observées dans un MET.</w:t>
      </w:r>
    </w:p>
    <w:p w:rsidR="006817C1" w:rsidRDefault="006817C1"/>
    <w:p w:rsidR="006817C1" w:rsidRDefault="009A6A16">
      <w:r>
        <w:t>Pour une bonne observation des échantillons biologiques, il peut être nécessaire de réaliser des préparations spécifiques comme des colorations positives ou négatives.</w:t>
      </w:r>
    </w:p>
    <w:p w:rsidR="006817C1" w:rsidRDefault="009A6A16">
      <w:r>
        <w:t>De même, certains échantillons non conducteurs nécessitent une métallisation. Attention celle-ci doit être de suffisamment faible épaisseur (quelques nanomètres).</w:t>
      </w:r>
    </w:p>
    <w:p w:rsidR="006817C1" w:rsidRDefault="006817C1"/>
    <w:p w:rsidR="006817C1" w:rsidRDefault="009A6A16">
      <w:pPr>
        <w:pStyle w:val="Titre2"/>
      </w:pPr>
      <w:r>
        <w:t>Les échantillons durant le TD</w:t>
      </w:r>
    </w:p>
    <w:p w:rsidR="006817C1" w:rsidRDefault="006817C1">
      <w:pPr>
        <w:ind w:firstLine="0"/>
      </w:pPr>
    </w:p>
    <w:p w:rsidR="006817C1" w:rsidRDefault="009A6A16">
      <w:pPr>
        <w:ind w:firstLine="0"/>
      </w:pPr>
      <w:r>
        <w:t>Différents échantillons seront observés afin de montrer les possibilités de ce type d'imagerie.</w:t>
      </w:r>
    </w:p>
    <w:p w:rsidR="006817C1" w:rsidRDefault="006817C1">
      <w:pPr>
        <w:ind w:firstLine="0"/>
      </w:pPr>
    </w:p>
    <w:p w:rsidR="006817C1" w:rsidRDefault="006817C1">
      <w:pPr>
        <w:ind w:firstLine="0"/>
      </w:pPr>
    </w:p>
    <w:p w:rsidR="006817C1" w:rsidRDefault="006817C1">
      <w:pPr>
        <w:ind w:firstLine="22"/>
        <w:jc w:val="cente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19"/>
      </w:tblGrid>
      <w:tr w:rsidR="006817C1">
        <w:tc>
          <w:tcPr>
            <w:tcW w:w="4819" w:type="dxa"/>
            <w:shd w:val="clear" w:color="auto" w:fill="auto"/>
          </w:tcPr>
          <w:p w:rsidR="006817C1" w:rsidRDefault="0037280F">
            <w:pPr>
              <w:pStyle w:val="Contenudetableau"/>
              <w:snapToGrid w:val="0"/>
              <w:ind w:firstLine="22"/>
              <w:jc w:val="center"/>
            </w:pPr>
            <w:r>
              <w:rPr>
                <w:noProof/>
                <w:lang w:eastAsia="fr-FR"/>
              </w:rPr>
              <w:lastRenderedPageBreak/>
              <w:drawing>
                <wp:inline distT="0" distB="0" distL="0" distR="0">
                  <wp:extent cx="2571750" cy="21621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571750" cy="2162175"/>
                          </a:xfrm>
                          <a:prstGeom prst="rect">
                            <a:avLst/>
                          </a:prstGeom>
                          <a:solidFill>
                            <a:srgbClr val="FFFFFF"/>
                          </a:solidFill>
                          <a:ln w="9525">
                            <a:noFill/>
                            <a:miter lim="800000"/>
                            <a:headEnd/>
                            <a:tailEnd/>
                          </a:ln>
                        </pic:spPr>
                      </pic:pic>
                    </a:graphicData>
                  </a:graphic>
                </wp:inline>
              </w:drawing>
            </w:r>
          </w:p>
          <w:p w:rsidR="006817C1" w:rsidRDefault="009A6A16">
            <w:pPr>
              <w:pStyle w:val="Contenudetableau"/>
              <w:ind w:firstLine="22"/>
              <w:jc w:val="center"/>
            </w:pPr>
            <w:r>
              <w:t>(a)</w:t>
            </w:r>
          </w:p>
        </w:tc>
        <w:tc>
          <w:tcPr>
            <w:tcW w:w="4819" w:type="dxa"/>
            <w:shd w:val="clear" w:color="auto" w:fill="auto"/>
          </w:tcPr>
          <w:p w:rsidR="006817C1" w:rsidRDefault="0037280F">
            <w:pPr>
              <w:pStyle w:val="Contenudetableau"/>
              <w:snapToGrid w:val="0"/>
              <w:ind w:firstLine="0"/>
              <w:jc w:val="center"/>
            </w:pPr>
            <w:r>
              <w:rPr>
                <w:noProof/>
                <w:lang w:eastAsia="fr-FR"/>
              </w:rPr>
              <w:drawing>
                <wp:inline distT="0" distB="0" distL="0" distR="0">
                  <wp:extent cx="2562225" cy="2162175"/>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562225" cy="2162175"/>
                          </a:xfrm>
                          <a:prstGeom prst="rect">
                            <a:avLst/>
                          </a:prstGeom>
                          <a:solidFill>
                            <a:srgbClr val="FFFFFF"/>
                          </a:solidFill>
                          <a:ln w="9525">
                            <a:noFill/>
                            <a:miter lim="800000"/>
                            <a:headEnd/>
                            <a:tailEnd/>
                          </a:ln>
                        </pic:spPr>
                      </pic:pic>
                    </a:graphicData>
                  </a:graphic>
                </wp:inline>
              </w:drawing>
            </w:r>
          </w:p>
          <w:p w:rsidR="006817C1" w:rsidRDefault="009A6A16">
            <w:pPr>
              <w:pStyle w:val="Contenudetableau"/>
              <w:ind w:firstLine="0"/>
              <w:jc w:val="center"/>
            </w:pPr>
            <w:r>
              <w:t>(b)</w:t>
            </w:r>
          </w:p>
        </w:tc>
      </w:tr>
      <w:tr w:rsidR="006817C1">
        <w:tc>
          <w:tcPr>
            <w:tcW w:w="4819" w:type="dxa"/>
            <w:shd w:val="clear" w:color="auto" w:fill="auto"/>
          </w:tcPr>
          <w:p w:rsidR="006817C1" w:rsidRDefault="0037280F">
            <w:pPr>
              <w:pStyle w:val="Contenudetableau"/>
              <w:snapToGrid w:val="0"/>
              <w:ind w:firstLine="0"/>
              <w:jc w:val="center"/>
            </w:pPr>
            <w:r>
              <w:rPr>
                <w:noProof/>
                <w:lang w:eastAsia="fr-FR"/>
              </w:rPr>
              <w:drawing>
                <wp:inline distT="0" distB="0" distL="0" distR="0">
                  <wp:extent cx="2562225" cy="21621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62225" cy="2162175"/>
                          </a:xfrm>
                          <a:prstGeom prst="rect">
                            <a:avLst/>
                          </a:prstGeom>
                          <a:solidFill>
                            <a:srgbClr val="FFFFFF"/>
                          </a:solidFill>
                          <a:ln w="9525">
                            <a:noFill/>
                            <a:miter lim="800000"/>
                            <a:headEnd/>
                            <a:tailEnd/>
                          </a:ln>
                        </pic:spPr>
                      </pic:pic>
                    </a:graphicData>
                  </a:graphic>
                </wp:inline>
              </w:drawing>
            </w:r>
          </w:p>
          <w:p w:rsidR="006817C1" w:rsidRDefault="009A6A16">
            <w:pPr>
              <w:pStyle w:val="Contenudetableau"/>
              <w:ind w:firstLine="0"/>
              <w:jc w:val="center"/>
            </w:pPr>
            <w:r>
              <w:t>(c)</w:t>
            </w:r>
          </w:p>
        </w:tc>
        <w:tc>
          <w:tcPr>
            <w:tcW w:w="4819" w:type="dxa"/>
            <w:shd w:val="clear" w:color="auto" w:fill="auto"/>
          </w:tcPr>
          <w:p w:rsidR="006817C1" w:rsidRDefault="006817C1">
            <w:pPr>
              <w:pStyle w:val="Lgendefigure"/>
              <w:snapToGrid w:val="0"/>
            </w:pPr>
          </w:p>
          <w:p w:rsidR="006817C1" w:rsidRDefault="009A6A16">
            <w:pPr>
              <w:pStyle w:val="Lgendefigure"/>
            </w:pPr>
            <w:r>
              <w:t>Figure 4 : Quelques exemples d’échantillons.</w:t>
            </w:r>
          </w:p>
          <w:p w:rsidR="006817C1" w:rsidRDefault="006817C1">
            <w:pPr>
              <w:pStyle w:val="Corpsdetextecentr"/>
            </w:pPr>
          </w:p>
          <w:p w:rsidR="006817C1" w:rsidRDefault="009A6A16">
            <w:pPr>
              <w:pStyle w:val="Lgendefigure"/>
            </w:pPr>
            <w:r>
              <w:t>(a) Aluminium avec des précipités de type Al2CuMg et Al20Cu2Mn3</w:t>
            </w:r>
          </w:p>
          <w:p w:rsidR="006817C1" w:rsidRDefault="009A6A16">
            <w:pPr>
              <w:pStyle w:val="Lgendefigure"/>
              <w:rPr>
                <w:szCs w:val="22"/>
              </w:rPr>
            </w:pPr>
            <w:r>
              <w:t xml:space="preserve">(b) Assemblage </w:t>
            </w:r>
            <w:r>
              <w:rPr>
                <w:szCs w:val="22"/>
              </w:rPr>
              <w:t>manganite de lanthane-zircone (LSM-YSZ)</w:t>
            </w:r>
          </w:p>
          <w:p w:rsidR="006817C1" w:rsidRDefault="009A6A16">
            <w:pPr>
              <w:pStyle w:val="Lgendefigure"/>
              <w:rPr>
                <w:szCs w:val="22"/>
              </w:rPr>
            </w:pPr>
            <w:r>
              <w:rPr>
                <w:szCs w:val="22"/>
              </w:rPr>
              <w:t>(c) Micro-fibrilles de cellulose</w:t>
            </w:r>
          </w:p>
        </w:tc>
      </w:tr>
    </w:tbl>
    <w:p w:rsidR="006817C1" w:rsidRDefault="006817C1">
      <w:pPr>
        <w:ind w:firstLine="0"/>
      </w:pPr>
    </w:p>
    <w:p w:rsidR="006817C1" w:rsidRDefault="006817C1">
      <w:pPr>
        <w:ind w:firstLine="0"/>
      </w:pPr>
    </w:p>
    <w:p w:rsidR="006817C1" w:rsidRDefault="009A6A16">
      <w:pPr>
        <w:pStyle w:val="Titre1"/>
        <w:rPr>
          <w:szCs w:val="22"/>
        </w:rPr>
      </w:pPr>
      <w:r>
        <w:rPr>
          <w:szCs w:val="22"/>
        </w:rPr>
        <w:t>TD en pratique.</w:t>
      </w:r>
    </w:p>
    <w:p w:rsidR="006817C1" w:rsidRDefault="006817C1">
      <w:pPr>
        <w:ind w:firstLine="0"/>
      </w:pPr>
    </w:p>
    <w:p w:rsidR="006817C1" w:rsidRDefault="009A6A16">
      <w:pPr>
        <w:pStyle w:val="Titre2"/>
        <w:rPr>
          <w:szCs w:val="22"/>
        </w:rPr>
      </w:pPr>
      <w:r>
        <w:rPr>
          <w:szCs w:val="22"/>
        </w:rPr>
        <w:t>Observation STEM – 1</w:t>
      </w:r>
      <w:r>
        <w:rPr>
          <w:szCs w:val="22"/>
          <w:vertAlign w:val="superscript"/>
        </w:rPr>
        <w:t>ere</w:t>
      </w:r>
      <w:r>
        <w:rPr>
          <w:szCs w:val="22"/>
        </w:rPr>
        <w:t xml:space="preserve"> image.</w:t>
      </w:r>
    </w:p>
    <w:p w:rsidR="006817C1" w:rsidRDefault="006817C1">
      <w:pPr>
        <w:ind w:firstLine="0"/>
      </w:pPr>
    </w:p>
    <w:p w:rsidR="006817C1" w:rsidRDefault="009A6A16">
      <w:r>
        <w:t>La tension d'accélération sera de 15 kV ou 20 kV</w:t>
      </w:r>
    </w:p>
    <w:p w:rsidR="006817C1" w:rsidRDefault="006817C1"/>
    <w:p w:rsidR="006817C1" w:rsidRDefault="009A6A16">
      <w:r>
        <w:t>Réaliser une première image en STEM par faisceau direct et diffusé.</w:t>
      </w:r>
    </w:p>
    <w:p w:rsidR="006817C1" w:rsidRDefault="006817C1"/>
    <w:p w:rsidR="006817C1" w:rsidRDefault="009A6A16">
      <w:r>
        <w:t>Nous discuterons des conditions d'obtention de ces premières images :</w:t>
      </w:r>
    </w:p>
    <w:p w:rsidR="006817C1" w:rsidRDefault="009A6A16">
      <w:r>
        <w:t>Courant de sonde, Vitesse de balayage, Sensibilité du détecteur, …</w:t>
      </w:r>
    </w:p>
    <w:p w:rsidR="006817C1" w:rsidRDefault="009A6A16">
      <w:r>
        <w:t>Commenter la différence entre ces deux images.</w:t>
      </w:r>
    </w:p>
    <w:p w:rsidR="006817C1" w:rsidRDefault="006817C1">
      <w:pPr>
        <w:ind w:firstLine="0"/>
      </w:pPr>
    </w:p>
    <w:p w:rsidR="006817C1" w:rsidRDefault="009A6A16">
      <w:pPr>
        <w:pStyle w:val="Titre2"/>
        <w:rPr>
          <w:szCs w:val="22"/>
        </w:rPr>
      </w:pPr>
      <w:r>
        <w:rPr>
          <w:szCs w:val="22"/>
        </w:rPr>
        <w:t>Choix de la tension d'accélération</w:t>
      </w:r>
    </w:p>
    <w:p w:rsidR="006817C1" w:rsidRDefault="006817C1">
      <w:pPr>
        <w:ind w:firstLine="0"/>
      </w:pPr>
    </w:p>
    <w:p w:rsidR="006817C1" w:rsidRDefault="009A6A16">
      <w:r>
        <w:t>Lors de l'observation d'un échantillon polymère ou biologique, la tension d'accélération sera modifiée vers les basses tensions. Nous discuterons des contrastes observés en particulier celui de la membrane carbone soutenant les objets.</w:t>
      </w:r>
    </w:p>
    <w:p w:rsidR="006817C1" w:rsidRDefault="006817C1"/>
    <w:tbl>
      <w:tblPr>
        <w:tblW w:w="0" w:type="auto"/>
        <w:tblLayout w:type="fixed"/>
        <w:tblCellMar>
          <w:left w:w="70" w:type="dxa"/>
          <w:right w:w="70" w:type="dxa"/>
        </w:tblCellMar>
        <w:tblLook w:val="0000" w:firstRow="0" w:lastRow="0" w:firstColumn="0" w:lastColumn="0" w:noHBand="0" w:noVBand="0"/>
      </w:tblPr>
      <w:tblGrid>
        <w:gridCol w:w="4853"/>
        <w:gridCol w:w="4924"/>
      </w:tblGrid>
      <w:tr w:rsidR="006817C1">
        <w:tc>
          <w:tcPr>
            <w:tcW w:w="4853" w:type="dxa"/>
            <w:shd w:val="clear" w:color="auto" w:fill="auto"/>
          </w:tcPr>
          <w:p w:rsidR="006817C1" w:rsidRDefault="0037280F">
            <w:pPr>
              <w:pStyle w:val="Corpsdetextecentr"/>
              <w:snapToGrid w:val="0"/>
            </w:pPr>
            <w:r>
              <w:rPr>
                <w:noProof/>
                <w:szCs w:val="20"/>
                <w:lang w:eastAsia="fr-FR"/>
              </w:rPr>
              <w:lastRenderedPageBreak/>
              <w:drawing>
                <wp:inline distT="0" distB="0" distL="0" distR="0">
                  <wp:extent cx="2990850" cy="18573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990850" cy="1857375"/>
                          </a:xfrm>
                          <a:prstGeom prst="rect">
                            <a:avLst/>
                          </a:prstGeom>
                          <a:solidFill>
                            <a:srgbClr val="FFFFFF"/>
                          </a:solidFill>
                          <a:ln w="9525">
                            <a:noFill/>
                            <a:miter lim="800000"/>
                            <a:headEnd/>
                            <a:tailEnd/>
                          </a:ln>
                        </pic:spPr>
                      </pic:pic>
                    </a:graphicData>
                  </a:graphic>
                </wp:inline>
              </w:drawing>
            </w:r>
          </w:p>
        </w:tc>
        <w:tc>
          <w:tcPr>
            <w:tcW w:w="4924" w:type="dxa"/>
            <w:shd w:val="clear" w:color="auto" w:fill="auto"/>
          </w:tcPr>
          <w:p w:rsidR="006817C1" w:rsidRDefault="0037280F">
            <w:pPr>
              <w:pStyle w:val="Corpsdetextecentr"/>
              <w:snapToGrid w:val="0"/>
            </w:pPr>
            <w:r>
              <w:rPr>
                <w:noProof/>
                <w:szCs w:val="20"/>
                <w:lang w:eastAsia="fr-FR"/>
              </w:rPr>
              <w:drawing>
                <wp:inline distT="0" distB="0" distL="0" distR="0">
                  <wp:extent cx="3038475" cy="186690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038475" cy="1866900"/>
                          </a:xfrm>
                          <a:prstGeom prst="rect">
                            <a:avLst/>
                          </a:prstGeom>
                          <a:solidFill>
                            <a:srgbClr val="FFFFFF"/>
                          </a:solidFill>
                          <a:ln w="9525">
                            <a:noFill/>
                            <a:miter lim="800000"/>
                            <a:headEnd/>
                            <a:tailEnd/>
                          </a:ln>
                        </pic:spPr>
                      </pic:pic>
                    </a:graphicData>
                  </a:graphic>
                </wp:inline>
              </w:drawing>
            </w:r>
          </w:p>
        </w:tc>
      </w:tr>
    </w:tbl>
    <w:p w:rsidR="006817C1" w:rsidRDefault="006817C1">
      <w:pPr>
        <w:ind w:firstLine="0"/>
      </w:pPr>
    </w:p>
    <w:p w:rsidR="006817C1" w:rsidRDefault="009A6A16">
      <w:pPr>
        <w:pStyle w:val="Lgendefigure"/>
      </w:pPr>
      <w:r>
        <w:t xml:space="preserve">Figure 5 : Trajectoires électroniques dans un film de 100 nm de carbone, à gauche à 15 kV, à droite à 5 kV obtenues par simulation de Monte Carlo d'après Hurricane - </w:t>
      </w:r>
      <w:proofErr w:type="spellStart"/>
      <w:r>
        <w:t>SamX</w:t>
      </w:r>
      <w:proofErr w:type="spellEnd"/>
      <w:r>
        <w:t>. Doc. F Grillon</w:t>
      </w:r>
    </w:p>
    <w:p w:rsidR="006817C1" w:rsidRDefault="006817C1">
      <w:pPr>
        <w:ind w:firstLine="0"/>
      </w:pPr>
    </w:p>
    <w:p w:rsidR="006817C1" w:rsidRDefault="009A6A16">
      <w:pPr>
        <w:pStyle w:val="Titre2"/>
        <w:rPr>
          <w:szCs w:val="22"/>
        </w:rPr>
      </w:pPr>
      <w:r>
        <w:rPr>
          <w:szCs w:val="22"/>
        </w:rPr>
        <w:t xml:space="preserve">Vers de l'analyse </w:t>
      </w:r>
      <w:proofErr w:type="spellStart"/>
      <w:r>
        <w:rPr>
          <w:szCs w:val="22"/>
        </w:rPr>
        <w:t>sub-micronique</w:t>
      </w:r>
      <w:proofErr w:type="spellEnd"/>
    </w:p>
    <w:p w:rsidR="006817C1" w:rsidRDefault="006817C1">
      <w:pPr>
        <w:ind w:firstLine="0"/>
      </w:pPr>
    </w:p>
    <w:p w:rsidR="006817C1" w:rsidRDefault="009A6A16">
      <w:pPr>
        <w:rPr>
          <w:szCs w:val="28"/>
        </w:rPr>
      </w:pPr>
      <w:r>
        <w:t xml:space="preserve">Les MEB FEG actuels permettent d’obtenir facilement des images résolues à fort grandissement. Cependant, en microanalyse X la résolution reste limitée par les effets de matrice. </w:t>
      </w:r>
      <w:r>
        <w:rPr>
          <w:szCs w:val="28"/>
        </w:rPr>
        <w:t xml:space="preserve">L’utilisation d’échantillons minces diminue ces effets de matrice, et donc autorise d’accéder de l'analyse </w:t>
      </w:r>
      <w:proofErr w:type="spellStart"/>
      <w:r>
        <w:rPr>
          <w:szCs w:val="28"/>
        </w:rPr>
        <w:t>sub-micronique</w:t>
      </w:r>
      <w:proofErr w:type="spellEnd"/>
      <w:r>
        <w:rPr>
          <w:szCs w:val="28"/>
        </w:rPr>
        <w:t>.</w:t>
      </w:r>
    </w:p>
    <w:p w:rsidR="006817C1" w:rsidRDefault="006817C1">
      <w:pPr>
        <w:ind w:firstLine="0"/>
      </w:pPr>
    </w:p>
    <w:p w:rsidR="006817C1" w:rsidRDefault="009A6A16">
      <w:pPr>
        <w:ind w:firstLine="0"/>
        <w:rPr>
          <w:szCs w:val="22"/>
        </w:rPr>
      </w:pPr>
      <w:r>
        <w:rPr>
          <w:szCs w:val="22"/>
        </w:rPr>
        <w:t xml:space="preserve">Cette partie sera discutée sur l'exemple suivant. </w:t>
      </w:r>
    </w:p>
    <w:p w:rsidR="006817C1" w:rsidRDefault="006817C1">
      <w:pPr>
        <w:ind w:firstLine="0"/>
      </w:pPr>
    </w:p>
    <w:p w:rsidR="006817C1" w:rsidRDefault="009A6A16">
      <w:r>
        <w:t xml:space="preserve">Le fonctionnement de cellule SOFC (Soft </w:t>
      </w:r>
      <w:proofErr w:type="spellStart"/>
      <w:r>
        <w:t>Oxide</w:t>
      </w:r>
      <w:proofErr w:type="spellEnd"/>
      <w:r>
        <w:t xml:space="preserve"> </w:t>
      </w:r>
      <w:proofErr w:type="spellStart"/>
      <w:r>
        <w:t>Fuell</w:t>
      </w:r>
      <w:proofErr w:type="spellEnd"/>
      <w:r>
        <w:t xml:space="preserve"> </w:t>
      </w:r>
      <w:proofErr w:type="spellStart"/>
      <w:r>
        <w:t>Cell</w:t>
      </w:r>
      <w:proofErr w:type="spellEnd"/>
      <w:r>
        <w:t xml:space="preserve">) est en particulier lié aux réactions chimiques dans les interfaces des assemblages céramiques constituant l'électrode. Il peut au cours du fonctionnement avoir ou non diffusion d’éléments chimiques limitant alors le rendement de la cellule. Ces réactions ont lieu aux interfaces. Il est nécessaire d'avoir une très bonne résolution de sonde chimique. </w:t>
      </w:r>
    </w:p>
    <w:p w:rsidR="006817C1" w:rsidRDefault="009A6A16">
      <w:r>
        <w:t>L'utilisation d'une lame mince permet d'améliorer la résolution spatiale d'analyse.</w:t>
      </w:r>
    </w:p>
    <w:p w:rsidR="006817C1" w:rsidRDefault="0037280F">
      <w:pPr>
        <w:ind w:firstLine="0"/>
      </w:pPr>
      <w:r>
        <w:rPr>
          <w:noProof/>
          <w:lang w:eastAsia="fr-FR"/>
        </w:rPr>
        <w:drawing>
          <wp:anchor distT="0" distB="0" distL="0" distR="0" simplePos="0" relativeHeight="251655168" behindDoc="0" locked="0" layoutInCell="1" allowOverlap="1">
            <wp:simplePos x="0" y="0"/>
            <wp:positionH relativeFrom="column">
              <wp:posOffset>123190</wp:posOffset>
            </wp:positionH>
            <wp:positionV relativeFrom="paragraph">
              <wp:posOffset>127000</wp:posOffset>
            </wp:positionV>
            <wp:extent cx="1917700" cy="1438910"/>
            <wp:effectExtent l="19050" t="0" r="6350" b="0"/>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917700" cy="1438910"/>
                    </a:xfrm>
                    <a:prstGeom prst="rect">
                      <a:avLst/>
                    </a:prstGeom>
                    <a:solidFill>
                      <a:srgbClr val="FFFFFF"/>
                    </a:solidFill>
                    <a:ln w="9525">
                      <a:noFill/>
                      <a:miter lim="800000"/>
                      <a:headEnd/>
                      <a:tailEnd/>
                    </a:ln>
                  </pic:spPr>
                </pic:pic>
              </a:graphicData>
            </a:graphic>
          </wp:anchor>
        </w:drawing>
      </w:r>
    </w:p>
    <w:p w:rsidR="009A6A16" w:rsidRDefault="00125B7E">
      <w:pPr>
        <w:ind w:firstLine="0"/>
        <w:jc w:val="cente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1106170</wp:posOffset>
                </wp:positionH>
                <wp:positionV relativeFrom="paragraph">
                  <wp:posOffset>207010</wp:posOffset>
                </wp:positionV>
                <wp:extent cx="0" cy="928370"/>
                <wp:effectExtent l="16510" t="12700" r="12065" b="1143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8370"/>
                        </a:xfrm>
                        <a:prstGeom prst="line">
                          <a:avLst/>
                        </a:prstGeom>
                        <a:noFill/>
                        <a:ln w="17640">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C948F"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16.3pt" to="87.1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PIA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jfDSJEO&#10;erQViqMs1qY3rgCTSu1syI6e1YvZavrdIaWrlqgDjxxfLwb8slDN5I1LuDgDEfb9Z83Ahhy9joU6&#10;N7YLkFACdI79uNz7wc8e0eGRwutiMn+aRToJKW5+xjr/iesOBaHEEjhHXHLaOh94kOJmEsIovRFS&#10;xm5LhfqQ7jRPo4fTUrCgDXbOHvaVtOhEYGA28YtZgebRLEDXxLWDnbu4Wvthlqw+KhbjtJyw9VX2&#10;RMhBBl5ShUiQJDC9SsOs/Fiki/V8Pc9H+WS6HuVpXY8+bqp8NN1ksw/1U11VdfYzkM7yohWMcRV4&#10;3+Y2y/9uLq4bNEzcfXLvFUreosdSAtnbP5KOXQ6NDYvmir1ml529dR9GNRpf1yrswuMd5MflX/0C&#10;AAD//wMAUEsDBBQABgAIAAAAIQDKPQIw3gAAAAoBAAAPAAAAZHJzL2Rvd25yZXYueG1sTI9BT8Mw&#10;DIXvSPyHyEjcWLoOjVKaTgUJJDiANmBnrzFtROOUJtvKvyflAjc/++n5e8VqtJ040OCNYwXzWQKC&#10;uHbacKPg7fX+IgPhA7LGzjEp+CYPq/L0pMBcuyOv6bAJjYgh7HNU0IbQ51L6uiWLfuZ64nj7cIPF&#10;EOXQSD3gMYbbTqZJspQWDccPLfZ011L9udlbBevnr0VCT9fv4231uK22qXl4mRulzs/G6gZEoDH8&#10;mWHCj+hQRqad27P2oov66jKNVgWLdAliMvwudtOQZSDLQv6vUP4AAAD//wMAUEsBAi0AFAAGAAgA&#10;AAAhALaDOJL+AAAA4QEAABMAAAAAAAAAAAAAAAAAAAAAAFtDb250ZW50X1R5cGVzXS54bWxQSwEC&#10;LQAUAAYACAAAACEAOP0h/9YAAACUAQAACwAAAAAAAAAAAAAAAAAvAQAAX3JlbHMvLnJlbHNQSwEC&#10;LQAUAAYACAAAACEAWP/YTyACAABEBAAADgAAAAAAAAAAAAAAAAAuAgAAZHJzL2Uyb0RvYy54bWxQ&#10;SwECLQAUAAYACAAAACEAyj0CMN4AAAAKAQAADwAAAAAAAAAAAAAAAAB6BAAAZHJzL2Rvd25yZXYu&#10;eG1sUEsFBgAAAAAEAAQA8wAAAIUFAAAAAA==&#10;" strokecolor="white" strokeweight=".49mm">
                <v:stroke dashstyle="1 1"/>
              </v:line>
            </w:pict>
          </mc:Fallback>
        </mc:AlternateContent>
      </w:r>
      <w:r w:rsidR="0037280F">
        <w:rPr>
          <w:noProof/>
          <w:szCs w:val="22"/>
          <w:lang w:eastAsia="fr-FR"/>
        </w:rPr>
        <w:drawing>
          <wp:inline distT="0" distB="0" distL="0" distR="0">
            <wp:extent cx="4838700" cy="360045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838700" cy="3600450"/>
                    </a:xfrm>
                    <a:prstGeom prst="rect">
                      <a:avLst/>
                    </a:prstGeom>
                    <a:solidFill>
                      <a:srgbClr val="FFFFFF"/>
                    </a:solidFill>
                    <a:ln w="9525">
                      <a:noFill/>
                      <a:miter lim="800000"/>
                      <a:headEnd/>
                      <a:tailEnd/>
                    </a:ln>
                  </pic:spPr>
                </pic:pic>
              </a:graphicData>
            </a:graphic>
          </wp:inline>
        </w:drawing>
      </w:r>
    </w:p>
    <w:sectPr w:rsidR="009A6A16">
      <w:footerReference w:type="even" r:id="rId22"/>
      <w:footerReference w:type="default" r:id="rId23"/>
      <w:pgSz w:w="11906" w:h="16838"/>
      <w:pgMar w:top="635" w:right="1134" w:bottom="1460" w:left="1134" w:header="359" w:footer="12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723" w:rsidRDefault="00F71723">
      <w:r>
        <w:separator/>
      </w:r>
    </w:p>
  </w:endnote>
  <w:endnote w:type="continuationSeparator" w:id="0">
    <w:p w:rsidR="00F71723" w:rsidRDefault="00F7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C1" w:rsidRDefault="00125B7E">
    <w:pPr>
      <w:pStyle w:val="Pieddepage"/>
      <w:ind w:right="360"/>
    </w:pPr>
    <w:r>
      <w:rPr>
        <w:noProof/>
        <w:lang w:eastAsia="fr-FR"/>
      </w:rPr>
      <mc:AlternateContent>
        <mc:Choice Requires="wps">
          <w:drawing>
            <wp:anchor distT="0" distB="0" distL="0" distR="0" simplePos="0" relativeHeight="251658240" behindDoc="0" locked="0" layoutInCell="1" allowOverlap="1">
              <wp:simplePos x="0" y="0"/>
              <wp:positionH relativeFrom="page">
                <wp:posOffset>6788785</wp:posOffset>
              </wp:positionH>
              <wp:positionV relativeFrom="paragraph">
                <wp:posOffset>635</wp:posOffset>
              </wp:positionV>
              <wp:extent cx="48895" cy="130810"/>
              <wp:effectExtent l="6985" t="2540" r="1270" b="0"/>
              <wp:wrapSquare wrapText="larges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7C1" w:rsidRDefault="009A6A16">
                          <w:pPr>
                            <w:pStyle w:val="Pieddepage"/>
                          </w:pPr>
                          <w:r>
                            <w:rPr>
                              <w:rStyle w:val="Numrodepage"/>
                            </w:rPr>
                            <w:fldChar w:fldCharType="begin"/>
                          </w:r>
                          <w:r>
                            <w:rPr>
                              <w:rStyle w:val="Numrodepage"/>
                            </w:rPr>
                            <w:instrText xml:space="preserve"> PAGE </w:instrText>
                          </w:r>
                          <w:r>
                            <w:rPr>
                              <w:rStyle w:val="Numrodepage"/>
                            </w:rPr>
                            <w:fldChar w:fldCharType="separate"/>
                          </w:r>
                          <w:r w:rsidR="00D87639">
                            <w:rPr>
                              <w:rStyle w:val="Numrodepage"/>
                              <w:noProof/>
                            </w:rPr>
                            <w:t>2</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34.55pt;margin-top:.05pt;width:3.85pt;height:10.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1/igIAABsFAAAOAAAAZHJzL2Uyb0RvYy54bWysVF1v2yAUfZ+0/4B4T21nTmpbdap+LNOk&#10;7kNq9wMIxjEaBgYkdlftv+8Ccdp0L9M0P+ALXA7n3nsuF5djL9CeGcuVrHF2lmLEJFUNl9saf3tY&#10;zwqMrCOyIUJJVuNHZvHl6u2bi0FXbK46JRpmEIBIWw26xp1zukoSSzvWE3umNJOw2SrTEwdTs00a&#10;QwZA70UyT9NlMijTaKMosxZWb+MmXgX8tmXUfWlbyxwSNQZuLowmjBs/JqsLUm0N0R2nBxrkH1j0&#10;hEu49Ah1SxxBO8P/gOo5Ncqq1p1R1SeqbTllIQaIJktfRXPfEc1CLJAcq49psv8Pln7efzWIN1C7&#10;JUaS9FCjBzY6dK1GNPfpGbStwOteg58bYRlcQ6hW3yn63SKpbjoit+zKGDV0jDRAL/MnkxdHI471&#10;IJvhk2rgGrJzKgCNrel97iAbCNChTI/H0ngqFBbzoigXGFHYyd6lRRYql5BqOquNdR+Y6pE3amyg&#10;8AGb7O+s81xINbn4q6wSvFlzIcLEbDc3wqA9AZGswxfPCt2RuDpdZ6NrwDvBENIjSeUx43VxBfgD&#10;Ab/nIwmKeCqzeZ5ez8vZelmcz/J1vpiV52kxS7PyulymeZnfrn95BlledbxpmLzjkk3qzPK/q/6h&#10;T6Kugj7RUONyMV+E4E7YH8I6xJr6LxTwVaJ67qBZBe9rXBydSOVr/l42EDapHOEi2skp/ZAyyMH0&#10;D1kJCvGiiPJw42YEFC+bjWoeQStGQTFBEPDCgNEp8xOjAbq1xvbHjhiGkfgoQW++tSfDTMZmMoik&#10;cLTGDqNo3rj4BOy04dsOkKOipboCTbY8COaZBVD2E+jAQP7wWvgWfzkPXs9v2uo3AAAA//8DAFBL&#10;AwQUAAYACAAAACEAiSyogdoAAAAJAQAADwAAAGRycy9kb3ducmV2LnhtbEyPzU7DMBCE70i8g7VI&#10;3KjdICVtiFNBEVwRAalXN94mUeJ1FLtteHs2JziOvtH8FLvZDeKCU+g8aVivFAik2tuOGg3fX28P&#10;GxAhGrJm8IQafjDArry9KUxu/ZU+8VLFRnAIhdxoaGMccylD3aIzYeVHJGYnPzkTWU6NtJO5crgb&#10;ZKJUKp3piBtaM+K+xbqvzk7D40eSHcJ79bofD7jtN+GlP1Gr9f3d/PwEIuIc/8ywzOfpUPKmoz+T&#10;DWJgrdLtmr0LEQtXWcpfjhoSlYEsC/n/QfkLAAD//wMAUEsBAi0AFAAGAAgAAAAhALaDOJL+AAAA&#10;4QEAABMAAAAAAAAAAAAAAAAAAAAAAFtDb250ZW50X1R5cGVzXS54bWxQSwECLQAUAAYACAAAACEA&#10;OP0h/9YAAACUAQAACwAAAAAAAAAAAAAAAAAvAQAAX3JlbHMvLnJlbHNQSwECLQAUAAYACAAAACEA&#10;8FXdf4oCAAAbBQAADgAAAAAAAAAAAAAAAAAuAgAAZHJzL2Uyb0RvYy54bWxQSwECLQAUAAYACAAA&#10;ACEAiSyogdoAAAAJAQAADwAAAAAAAAAAAAAAAADkBAAAZHJzL2Rvd25yZXYueG1sUEsFBgAAAAAE&#10;AAQA8wAAAOsFAAAAAA==&#10;" stroked="f">
              <v:fill opacity="0"/>
              <v:textbox inset="0,0,0,0">
                <w:txbxContent>
                  <w:p w:rsidR="006817C1" w:rsidRDefault="009A6A16">
                    <w:pPr>
                      <w:pStyle w:val="Pieddepage"/>
                    </w:pPr>
                    <w:r>
                      <w:rPr>
                        <w:rStyle w:val="Numrodepage"/>
                      </w:rPr>
                      <w:fldChar w:fldCharType="begin"/>
                    </w:r>
                    <w:r>
                      <w:rPr>
                        <w:rStyle w:val="Numrodepage"/>
                      </w:rPr>
                      <w:instrText xml:space="preserve"> PAGE </w:instrText>
                    </w:r>
                    <w:r>
                      <w:rPr>
                        <w:rStyle w:val="Numrodepage"/>
                      </w:rPr>
                      <w:fldChar w:fldCharType="separate"/>
                    </w:r>
                    <w:r w:rsidR="00D87639">
                      <w:rPr>
                        <w:rStyle w:val="Numrodepage"/>
                        <w:noProof/>
                      </w:rPr>
                      <w:t>2</w:t>
                    </w:r>
                    <w:r>
                      <w:rPr>
                        <w:rStyle w:val="Numrodepage"/>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C1" w:rsidRDefault="00125B7E">
    <w:pPr>
      <w:pStyle w:val="Pieddepage"/>
      <w:ind w:right="360"/>
    </w:pPr>
    <w:r>
      <w:rPr>
        <w:noProof/>
        <w:lang w:eastAsia="fr-FR"/>
      </w:rPr>
      <mc:AlternateContent>
        <mc:Choice Requires="wps">
          <w:drawing>
            <wp:anchor distT="0" distB="0" distL="0" distR="0" simplePos="0" relativeHeight="251657216" behindDoc="0" locked="0" layoutInCell="1" allowOverlap="1">
              <wp:simplePos x="0" y="0"/>
              <wp:positionH relativeFrom="page">
                <wp:posOffset>6788785</wp:posOffset>
              </wp:positionH>
              <wp:positionV relativeFrom="paragraph">
                <wp:posOffset>635</wp:posOffset>
              </wp:positionV>
              <wp:extent cx="48895" cy="130810"/>
              <wp:effectExtent l="6985" t="2540" r="1270" b="0"/>
              <wp:wrapSquare wrapText="largest"/>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7C1" w:rsidRDefault="009A6A16">
                          <w:pPr>
                            <w:pStyle w:val="Pieddepage"/>
                          </w:pPr>
                          <w:r>
                            <w:rPr>
                              <w:rStyle w:val="Numrodepage"/>
                            </w:rPr>
                            <w:fldChar w:fldCharType="begin"/>
                          </w:r>
                          <w:r>
                            <w:rPr>
                              <w:rStyle w:val="Numrodepage"/>
                            </w:rPr>
                            <w:instrText xml:space="preserve"> PAGE </w:instrText>
                          </w:r>
                          <w:r>
                            <w:rPr>
                              <w:rStyle w:val="Numrodepage"/>
                            </w:rPr>
                            <w:fldChar w:fldCharType="separate"/>
                          </w:r>
                          <w:r w:rsidR="00D87639">
                            <w:rPr>
                              <w:rStyle w:val="Numrodepage"/>
                              <w:noProof/>
                            </w:rPr>
                            <w:t>3</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34.55pt;margin-top:.05pt;width:3.85pt;height:10.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xpjAIAACIFAAAOAAAAZHJzL2Uyb0RvYy54bWysVF1v2yAUfZ+0/4B4T21nTmtbcaqmXaZJ&#10;3YfU7gcQg2M0DAxI7K7af98F4qzZXqZpfsAXuBzOvfdcltdjL9CBGcuVrHF2kWLEZKMol7saf3nc&#10;zAqMrCOSEqEkq/ETs/h69frVctAVm6tOCcoMAhBpq0HXuHNOV0lim471xF4ozSRstsr0xMHU7BJq&#10;yADovUjmaXqZDMpQbVTDrIXVu7iJVwG/bVnjPrWtZQ6JGgM3F0YTxq0fk9WSVDtDdMebIw3yDyx6&#10;wiVceoK6I46gveF/QPW8Mcqq1l00qk9U2/KGhRggmiz9LZqHjmgWYoHkWH1Kk/1/sM3Hw2eDOIXa&#10;LTCSpIcaPbLRobUaUebTM2hbgdeDBj83wjK4hlCtvlfNV4ukuu2I3LEbY9TQMUKBXjiZvDgacawH&#10;2Q4fFIVryN6pADS2pve5g2wgQIcyPZ1K46k0sJgXRQkEG9jJ3qRFFiqXkGo6q41175jqkTdqbKDw&#10;AZsc7q2DKMB1cvFXWSU43XAhwsTstrfCoAMBkWzCF88K3ZG4Ol1no2vAO8MQ0iNJ5THjdXEF+AMB&#10;v+cjCYp4LrN5nq7n5WxzWVzN8k2+mJVXaTFLs3JdXqZ5md9tfngGWV51nFIm77lkkzqz/O+qf+yT&#10;qKugTzTUuFzMFyG4M/bHsI6xpv7zpYeknbn13EGzCt7XuDg5kcrX/K2kcIBUjnAR7eScfkCDHEz/&#10;kJWgEC+KKA83bseoxUl4W0WfQDJGQU1BF/DQgNEp8x2jAZq2xvbbnhiGkXgvQXa+wyfDTMZ2Mohs&#10;4GiNHUbRvHXxJdhrw3cdIEdhS3UD0mx50I3XcGQBzP0EGjHEcHw0fKe/nAevX0/b6icAAAD//wMA&#10;UEsDBBQABgAIAAAAIQCJLKiB2gAAAAkBAAAPAAAAZHJzL2Rvd25yZXYueG1sTI/NTsMwEITvSLyD&#10;tUjcqN0gJW2IU0ERXBEBqVc33iZR4nUUu214ezYnOI6+0fwUu9kN4oJT6DxpWK8UCKTa244aDd9f&#10;bw8bECEasmbwhBp+MMCuvL0pTG79lT7xUsVGcAiF3GhoYxxzKUPdojNh5UckZic/ORNZTo20k7ly&#10;uBtkolQqnemIG1oz4r7Fuq/OTsPjR5Idwnv1uh8PuO034aU/Uav1/d38/AQi4hz/zLDM5+lQ8qaj&#10;P5MNYmCt0u2avQsRC1dZyl+OGhKVgSwL+f9B+QsAAP//AwBQSwECLQAUAAYACAAAACEAtoM4kv4A&#10;AADhAQAAEwAAAAAAAAAAAAAAAAAAAAAAW0NvbnRlbnRfVHlwZXNdLnhtbFBLAQItABQABgAIAAAA&#10;IQA4/SH/1gAAAJQBAAALAAAAAAAAAAAAAAAAAC8BAABfcmVscy8ucmVsc1BLAQItABQABgAIAAAA&#10;IQCDvPxpjAIAACIFAAAOAAAAAAAAAAAAAAAAAC4CAABkcnMvZTJvRG9jLnhtbFBLAQItABQABgAI&#10;AAAAIQCJLKiB2gAAAAkBAAAPAAAAAAAAAAAAAAAAAOYEAABkcnMvZG93bnJldi54bWxQSwUGAAAA&#10;AAQABADzAAAA7QUAAAAA&#10;" stroked="f">
              <v:fill opacity="0"/>
              <v:textbox inset="0,0,0,0">
                <w:txbxContent>
                  <w:p w:rsidR="006817C1" w:rsidRDefault="009A6A16">
                    <w:pPr>
                      <w:pStyle w:val="Pieddepage"/>
                    </w:pPr>
                    <w:r>
                      <w:rPr>
                        <w:rStyle w:val="Numrodepage"/>
                      </w:rPr>
                      <w:fldChar w:fldCharType="begin"/>
                    </w:r>
                    <w:r>
                      <w:rPr>
                        <w:rStyle w:val="Numrodepage"/>
                      </w:rPr>
                      <w:instrText xml:space="preserve"> PAGE </w:instrText>
                    </w:r>
                    <w:r>
                      <w:rPr>
                        <w:rStyle w:val="Numrodepage"/>
                      </w:rPr>
                      <w:fldChar w:fldCharType="separate"/>
                    </w:r>
                    <w:r w:rsidR="00D87639">
                      <w:rPr>
                        <w:rStyle w:val="Numrodepage"/>
                        <w:noProof/>
                      </w:rPr>
                      <w:t>3</w:t>
                    </w:r>
                    <w:r>
                      <w:rPr>
                        <w:rStyle w:val="Numrodepage"/>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723" w:rsidRDefault="00F71723">
      <w:r>
        <w:separator/>
      </w:r>
    </w:p>
  </w:footnote>
  <w:footnote w:type="continuationSeparator" w:id="0">
    <w:p w:rsidR="00F71723" w:rsidRDefault="00F717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440"/>
        </w:tabs>
        <w:ind w:left="1224" w:hanging="504"/>
      </w:pPr>
    </w:lvl>
    <w:lvl w:ilvl="3">
      <w:start w:val="1"/>
      <w:numFmt w:val="decimal"/>
      <w:pStyle w:val="Titre4"/>
      <w:lvlText w:val="%1.%2.%3.%4."/>
      <w:lvlJc w:val="left"/>
      <w:pPr>
        <w:tabs>
          <w:tab w:val="num" w:pos="1800"/>
        </w:tabs>
        <w:ind w:left="1728" w:hanging="648"/>
      </w:pPr>
    </w:lvl>
    <w:lvl w:ilvl="4">
      <w:start w:val="1"/>
      <w:numFmt w:val="decimal"/>
      <w:pStyle w:val="Titre5"/>
      <w:lvlText w:val="%1.%2.%3.%4.%5."/>
      <w:lvlJc w:val="left"/>
      <w:pPr>
        <w:tabs>
          <w:tab w:val="num" w:pos="2520"/>
        </w:tabs>
        <w:ind w:left="2232" w:hanging="792"/>
      </w:pPr>
    </w:lvl>
    <w:lvl w:ilvl="5">
      <w:start w:val="1"/>
      <w:numFmt w:val="decimal"/>
      <w:pStyle w:val="Titre6"/>
      <w:lvlText w:val="%1.%2.%3.%4.%5.%6."/>
      <w:lvlJc w:val="left"/>
      <w:pPr>
        <w:tabs>
          <w:tab w:val="num" w:pos="2880"/>
        </w:tabs>
        <w:ind w:left="2736" w:hanging="936"/>
      </w:pPr>
    </w:lvl>
    <w:lvl w:ilvl="6">
      <w:start w:val="1"/>
      <w:numFmt w:val="decimal"/>
      <w:pStyle w:val="Titre7"/>
      <w:lvlText w:val="%1.%2.%3.%4.%5.%6.%7."/>
      <w:lvlJc w:val="left"/>
      <w:pPr>
        <w:tabs>
          <w:tab w:val="num" w:pos="3600"/>
        </w:tabs>
        <w:ind w:left="3240" w:hanging="1080"/>
      </w:pPr>
    </w:lvl>
    <w:lvl w:ilvl="7">
      <w:start w:val="1"/>
      <w:numFmt w:val="decimal"/>
      <w:pStyle w:val="Titre8"/>
      <w:lvlText w:val="%1.%2.%3.%4.%5.%6.%7.%8."/>
      <w:lvlJc w:val="left"/>
      <w:pPr>
        <w:tabs>
          <w:tab w:val="num" w:pos="3960"/>
        </w:tabs>
        <w:ind w:left="3744" w:hanging="1224"/>
      </w:pPr>
    </w:lvl>
    <w:lvl w:ilvl="8">
      <w:start w:val="1"/>
      <w:numFmt w:val="decimal"/>
      <w:pStyle w:val="Titre9"/>
      <w:lvlText w:val="%1.%2.%3.%4.%5.%6.%7.%8.%9."/>
      <w:lvlJc w:val="left"/>
      <w:pPr>
        <w:tabs>
          <w:tab w:val="num" w:pos="4680"/>
        </w:tabs>
        <w:ind w:left="4320" w:hanging="1440"/>
      </w:pPr>
    </w:lvl>
  </w:abstractNum>
  <w:abstractNum w:abstractNumId="1">
    <w:nsid w:val="00000002"/>
    <w:multiLevelType w:val="singleLevel"/>
    <w:tmpl w:val="00000002"/>
    <w:name w:val="WW8Num2"/>
    <w:lvl w:ilvl="0">
      <w:start w:val="1"/>
      <w:numFmt w:val="decimal"/>
      <w:pStyle w:val="RfrenceBibliographique"/>
      <w:lvlText w:val="[%1]"/>
      <w:lvlJc w:val="left"/>
      <w:pPr>
        <w:tabs>
          <w:tab w:val="num" w:pos="454"/>
        </w:tabs>
        <w:ind w:left="454" w:hanging="454"/>
      </w:pPr>
    </w:lvl>
  </w:abstractNum>
  <w:abstractNum w:abstractNumId="2">
    <w:nsid w:val="00000003"/>
    <w:multiLevelType w:val="singleLevel"/>
    <w:tmpl w:val="00000003"/>
    <w:name w:val="WW8Num3"/>
    <w:lvl w:ilvl="0">
      <w:start w:val="1"/>
      <w:numFmt w:val="bullet"/>
      <w:pStyle w:val="EnumrationPuceCarr"/>
      <w:lvlText w:val=""/>
      <w:lvlJc w:val="left"/>
      <w:pPr>
        <w:tabs>
          <w:tab w:val="num" w:pos="360"/>
        </w:tabs>
        <w:ind w:left="360" w:hanging="360"/>
      </w:pPr>
      <w:rPr>
        <w:rFonts w:ascii="Wingdings" w:hAnsi="Wingdings"/>
      </w:rPr>
    </w:lvl>
  </w:abstractNum>
  <w:abstractNum w:abstractNumId="3">
    <w:nsid w:val="00000004"/>
    <w:multiLevelType w:val="singleLevel"/>
    <w:tmpl w:val="00000004"/>
    <w:name w:val="WW8Num4"/>
    <w:lvl w:ilvl="0">
      <w:start w:val="1"/>
      <w:numFmt w:val="bullet"/>
      <w:pStyle w:val="EnumrationPuceTiret"/>
      <w:lvlText w:val="–"/>
      <w:lvlJc w:val="left"/>
      <w:pPr>
        <w:tabs>
          <w:tab w:val="num" w:pos="717"/>
        </w:tabs>
        <w:ind w:left="709" w:hanging="352"/>
      </w:pPr>
      <w:rPr>
        <w:rFonts w:ascii="Times New Roman" w:hAnsi="Times New Roman"/>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80F"/>
    <w:rsid w:val="00125B7E"/>
    <w:rsid w:val="0037280F"/>
    <w:rsid w:val="006817C1"/>
    <w:rsid w:val="009A6A16"/>
    <w:rsid w:val="00D87639"/>
    <w:rsid w:val="00F717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50643244-EBC1-485D-B002-2D625831D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firstLine="709"/>
      <w:jc w:val="both"/>
    </w:pPr>
    <w:rPr>
      <w:sz w:val="24"/>
      <w:lang w:eastAsia="ar-SA"/>
    </w:rPr>
  </w:style>
  <w:style w:type="paragraph" w:styleId="Titre1">
    <w:name w:val="heading 1"/>
    <w:next w:val="Normal"/>
    <w:qFormat/>
    <w:pPr>
      <w:keepNext/>
      <w:numPr>
        <w:numId w:val="1"/>
      </w:numPr>
      <w:tabs>
        <w:tab w:val="left" w:pos="454"/>
      </w:tabs>
      <w:suppressAutoHyphens/>
      <w:spacing w:before="480" w:after="120"/>
      <w:ind w:left="454" w:hanging="454"/>
      <w:jc w:val="both"/>
      <w:outlineLvl w:val="0"/>
    </w:pPr>
    <w:rPr>
      <w:rFonts w:eastAsia="Arial"/>
      <w:b/>
      <w:sz w:val="28"/>
      <w:lang w:eastAsia="ar-SA"/>
    </w:rPr>
  </w:style>
  <w:style w:type="paragraph" w:styleId="Titre2">
    <w:name w:val="heading 2"/>
    <w:next w:val="Normal"/>
    <w:qFormat/>
    <w:pPr>
      <w:keepNext/>
      <w:numPr>
        <w:ilvl w:val="1"/>
        <w:numId w:val="1"/>
      </w:numPr>
      <w:tabs>
        <w:tab w:val="left" w:pos="851"/>
      </w:tabs>
      <w:suppressAutoHyphens/>
      <w:spacing w:before="120" w:after="80"/>
      <w:jc w:val="both"/>
      <w:outlineLvl w:val="1"/>
    </w:pPr>
    <w:rPr>
      <w:rFonts w:eastAsia="Arial"/>
      <w:b/>
      <w:sz w:val="24"/>
      <w:lang w:eastAsia="ar-SA"/>
    </w:rPr>
  </w:style>
  <w:style w:type="paragraph" w:styleId="Titre3">
    <w:name w:val="heading 3"/>
    <w:next w:val="Normal"/>
    <w:qFormat/>
    <w:pPr>
      <w:keepNext/>
      <w:numPr>
        <w:ilvl w:val="2"/>
        <w:numId w:val="1"/>
      </w:numPr>
      <w:suppressAutoHyphens/>
      <w:spacing w:before="120" w:after="80"/>
      <w:jc w:val="both"/>
      <w:outlineLvl w:val="2"/>
    </w:pPr>
    <w:rPr>
      <w:rFonts w:eastAsia="Arial"/>
      <w:b/>
      <w:i/>
      <w:sz w:val="24"/>
      <w:lang w:eastAsia="ar-SA"/>
    </w:rPr>
  </w:style>
  <w:style w:type="paragraph" w:styleId="Titre4">
    <w:name w:val="heading 4"/>
    <w:next w:val="Normal"/>
    <w:qFormat/>
    <w:pPr>
      <w:keepNext/>
      <w:numPr>
        <w:ilvl w:val="3"/>
        <w:numId w:val="1"/>
      </w:numPr>
      <w:suppressAutoHyphens/>
      <w:spacing w:before="80"/>
      <w:outlineLvl w:val="3"/>
    </w:pPr>
    <w:rPr>
      <w:rFonts w:eastAsia="Arial"/>
      <w:i/>
      <w:sz w:val="24"/>
      <w:lang w:eastAsia="ar-SA"/>
    </w:rPr>
  </w:style>
  <w:style w:type="paragraph" w:styleId="Titre5">
    <w:name w:val="heading 5"/>
    <w:next w:val="Normal"/>
    <w:qFormat/>
    <w:pPr>
      <w:numPr>
        <w:ilvl w:val="4"/>
        <w:numId w:val="1"/>
      </w:numPr>
      <w:suppressAutoHyphens/>
      <w:spacing w:before="80"/>
      <w:jc w:val="both"/>
      <w:outlineLvl w:val="4"/>
    </w:pPr>
    <w:rPr>
      <w:rFonts w:eastAsia="Arial"/>
      <w:i/>
      <w:sz w:val="24"/>
      <w:lang w:eastAsia="ar-SA"/>
    </w:rPr>
  </w:style>
  <w:style w:type="paragraph" w:styleId="Titre6">
    <w:name w:val="heading 6"/>
    <w:next w:val="Normal"/>
    <w:qFormat/>
    <w:pPr>
      <w:keepNext/>
      <w:numPr>
        <w:ilvl w:val="5"/>
        <w:numId w:val="1"/>
      </w:numPr>
      <w:suppressAutoHyphens/>
      <w:spacing w:before="80"/>
      <w:outlineLvl w:val="5"/>
    </w:pPr>
    <w:rPr>
      <w:rFonts w:eastAsia="Arial"/>
      <w:i/>
      <w:sz w:val="24"/>
      <w:lang w:eastAsia="ar-SA"/>
    </w:rPr>
  </w:style>
  <w:style w:type="paragraph" w:styleId="Titre7">
    <w:name w:val="heading 7"/>
    <w:next w:val="Normal"/>
    <w:qFormat/>
    <w:pPr>
      <w:numPr>
        <w:ilvl w:val="6"/>
        <w:numId w:val="1"/>
      </w:numPr>
      <w:suppressAutoHyphens/>
      <w:spacing w:before="80"/>
      <w:jc w:val="both"/>
      <w:outlineLvl w:val="6"/>
    </w:pPr>
    <w:rPr>
      <w:rFonts w:eastAsia="Arial"/>
      <w:i/>
      <w:sz w:val="24"/>
      <w:lang w:eastAsia="ar-SA"/>
    </w:rPr>
  </w:style>
  <w:style w:type="paragraph" w:styleId="Titre8">
    <w:name w:val="heading 8"/>
    <w:next w:val="Normal"/>
    <w:qFormat/>
    <w:pPr>
      <w:numPr>
        <w:ilvl w:val="7"/>
        <w:numId w:val="1"/>
      </w:numPr>
      <w:suppressAutoHyphens/>
      <w:spacing w:before="80"/>
      <w:outlineLvl w:val="7"/>
    </w:pPr>
    <w:rPr>
      <w:rFonts w:eastAsia="Arial"/>
      <w:i/>
      <w:sz w:val="24"/>
      <w:lang w:eastAsia="ar-SA"/>
    </w:rPr>
  </w:style>
  <w:style w:type="paragraph" w:styleId="Titre9">
    <w:name w:val="heading 9"/>
    <w:next w:val="Normal"/>
    <w:qFormat/>
    <w:pPr>
      <w:numPr>
        <w:ilvl w:val="8"/>
        <w:numId w:val="1"/>
      </w:numPr>
      <w:suppressAutoHyphens/>
      <w:spacing w:before="80"/>
      <w:outlineLvl w:val="8"/>
    </w:pPr>
    <w:rPr>
      <w:rFonts w:eastAsia="Arial"/>
      <w:i/>
      <w:sz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Pr>
      <w:rFonts w:ascii="Wingdings" w:hAnsi="Wingdings"/>
    </w:rPr>
  </w:style>
  <w:style w:type="character" w:customStyle="1" w:styleId="WW8Num4z0">
    <w:name w:val="WW8Num4z0"/>
    <w:rPr>
      <w:rFonts w:ascii="Symbol" w:hAnsi="Symbol"/>
    </w:rPr>
  </w:style>
  <w:style w:type="character" w:customStyle="1" w:styleId="WW8Num5z0">
    <w:name w:val="WW8Num5z0"/>
    <w:rPr>
      <w:rFonts w:ascii="Times New Roman" w:hAnsi="Times New Roman"/>
    </w:rPr>
  </w:style>
  <w:style w:type="character" w:customStyle="1" w:styleId="WW8Num5z1">
    <w:name w:val="WW8Num5z1"/>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7z0">
    <w:name w:val="WW8Num7z0"/>
    <w:rPr>
      <w:rFonts w:ascii="Symbol" w:hAnsi="Symbol"/>
    </w:rPr>
  </w:style>
  <w:style w:type="character" w:customStyle="1" w:styleId="WW8Num7z1">
    <w:name w:val="WW8Num7z1"/>
    <w:rPr>
      <w:rFonts w:ascii="OpenSymbol" w:hAnsi="OpenSymbol" w:cs="OpenSymbol"/>
    </w:rPr>
  </w:style>
  <w:style w:type="character" w:customStyle="1" w:styleId="WW8Num8z0">
    <w:name w:val="WW8Num8z0"/>
    <w:rPr>
      <w:rFonts w:ascii="Wingdings 2" w:hAnsi="Wingdings 2" w:cs="OpenSymbol"/>
    </w:rPr>
  </w:style>
  <w:style w:type="character" w:customStyle="1" w:styleId="WW8Num8z1">
    <w:name w:val="WW8Num8z1"/>
    <w:rPr>
      <w:rFonts w:ascii="OpenSymbol" w:hAnsi="OpenSymbol" w:cs="OpenSymbol"/>
    </w:rPr>
  </w:style>
  <w:style w:type="character" w:customStyle="1" w:styleId="WW8Num9z0">
    <w:name w:val="WW8Num9z0"/>
    <w:rPr>
      <w:rFonts w:ascii="Wingdings 2" w:hAnsi="Wingdings 2" w:cs="OpenSymbol"/>
    </w:rPr>
  </w:style>
  <w:style w:type="character" w:customStyle="1" w:styleId="WW8Num9z1">
    <w:name w:val="WW8Num9z1"/>
    <w:rPr>
      <w:rFonts w:ascii="OpenSymbol" w:hAnsi="OpenSymbol" w:cs="OpenSymbol"/>
    </w:rPr>
  </w:style>
  <w:style w:type="character" w:customStyle="1" w:styleId="WW8Num10z0">
    <w:name w:val="WW8Num10z0"/>
    <w:rPr>
      <w:rFonts w:ascii="Wingdings 2" w:hAnsi="Wingdings 2" w:cs="OpenSymbol"/>
    </w:rPr>
  </w:style>
  <w:style w:type="character" w:customStyle="1" w:styleId="WW8Num10z1">
    <w:name w:val="WW8Num10z1"/>
    <w:rPr>
      <w:rFonts w:ascii="OpenSymbol" w:hAnsi="OpenSymbol" w:cs="OpenSymbol"/>
    </w:rPr>
  </w:style>
  <w:style w:type="character" w:customStyle="1" w:styleId="WW8Num11z0">
    <w:name w:val="WW8Num11z0"/>
    <w:rPr>
      <w:rFonts w:ascii="Wingdings" w:hAnsi="Wingdings"/>
    </w:rPr>
  </w:style>
  <w:style w:type="character" w:customStyle="1" w:styleId="WW8Num11z1">
    <w:name w:val="WW8Num11z1"/>
    <w:rPr>
      <w:rFonts w:ascii="OpenSymbol" w:hAnsi="OpenSymbol" w:cs="OpenSymbol"/>
    </w:rPr>
  </w:style>
  <w:style w:type="character" w:customStyle="1" w:styleId="WW8Num12z0">
    <w:name w:val="WW8Num12z0"/>
    <w:rPr>
      <w:rFonts w:ascii="Wingdings 2" w:hAnsi="Wingdings 2" w:cs="OpenSymbol"/>
    </w:rPr>
  </w:style>
  <w:style w:type="character" w:customStyle="1" w:styleId="WW8Num12z1">
    <w:name w:val="WW8Num12z1"/>
    <w:rPr>
      <w:rFonts w:ascii="OpenSymbol" w:hAnsi="OpenSymbol" w:cs="OpenSymbol"/>
    </w:rPr>
  </w:style>
  <w:style w:type="character" w:customStyle="1" w:styleId="WW8Num13z0">
    <w:name w:val="WW8Num13z0"/>
    <w:rPr>
      <w:rFonts w:ascii="Wingdings" w:hAnsi="Wingdings"/>
    </w:rPr>
  </w:style>
  <w:style w:type="character" w:customStyle="1" w:styleId="WW8Num13z1">
    <w:name w:val="WW8Num13z1"/>
    <w:rPr>
      <w:rFonts w:ascii="OpenSymbol" w:hAnsi="OpenSymbol" w:cs="OpenSymbol"/>
    </w:rPr>
  </w:style>
  <w:style w:type="character" w:customStyle="1" w:styleId="WW8Num14z0">
    <w:name w:val="WW8Num14z0"/>
    <w:rPr>
      <w:rFonts w:ascii="Wingdings" w:hAnsi="Wingdings"/>
    </w:rPr>
  </w:style>
  <w:style w:type="character" w:customStyle="1" w:styleId="WW8Num14z1">
    <w:name w:val="WW8Num14z1"/>
    <w:rPr>
      <w:rFonts w:ascii="OpenSymbol" w:hAnsi="OpenSymbol" w:cs="OpenSymbol"/>
    </w:rPr>
  </w:style>
  <w:style w:type="character" w:customStyle="1" w:styleId="WW8Num15z0">
    <w:name w:val="WW8Num15z0"/>
    <w:rPr>
      <w:rFonts w:ascii="Wingdings 2" w:hAnsi="Wingdings 2"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Times New Roman" w:hAnsi="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Times New Roman" w:hAnsi="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Policepardfaut2">
    <w:name w:val="Police par défaut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0">
    <w:name w:val="WW8Num24z0"/>
    <w:rPr>
      <w:rFonts w:ascii="Times New Roman" w:hAnsi="Times New Roman"/>
    </w:rPr>
  </w:style>
  <w:style w:type="character" w:customStyle="1" w:styleId="WW8Num27z0">
    <w:name w:val="WW8Num27z0"/>
    <w:rPr>
      <w:rFonts w:ascii="Wingdings" w:hAnsi="Wingdings"/>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Times New Roman" w:eastAsia="Times New Roman" w:hAnsi="Times New Roman" w:cs="Times New Roman"/>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Policepardfaut1">
    <w:name w:val="Police par défaut1"/>
  </w:style>
  <w:style w:type="character" w:styleId="Lienhypertextesuivivisit">
    <w:name w:val="FollowedHyperlink"/>
    <w:basedOn w:val="Policepardfaut1"/>
    <w:rPr>
      <w:color w:val="800080"/>
      <w:u w:val="single"/>
    </w:rPr>
  </w:style>
  <w:style w:type="character" w:styleId="Lienhypertexte">
    <w:name w:val="Hyperlink"/>
    <w:basedOn w:val="Policepardfaut1"/>
    <w:rPr>
      <w:color w:val="0000FF"/>
      <w:u w:val="single"/>
    </w:rPr>
  </w:style>
  <w:style w:type="character" w:styleId="Numrodepage">
    <w:name w:val="page number"/>
    <w:basedOn w:val="Policepardfaut1"/>
  </w:style>
  <w:style w:type="character" w:customStyle="1" w:styleId="Caractresdenotedebasdepage">
    <w:name w:val="Caractères de note de bas de page"/>
    <w:basedOn w:val="Policepardfaut1"/>
    <w:rPr>
      <w:vertAlign w:val="superscript"/>
    </w:rPr>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character" w:customStyle="1" w:styleId="Policepardfaut3">
    <w:name w:val="Police par défaut3"/>
  </w:style>
  <w:style w:type="character" w:customStyle="1" w:styleId="st1">
    <w:name w:val="st1"/>
    <w:basedOn w:val="Policepardfaut3"/>
  </w:style>
  <w:style w:type="character" w:customStyle="1" w:styleId="footer32">
    <w:name w:val="footer32"/>
    <w:basedOn w:val="Policepardfaut3"/>
    <w:rPr>
      <w:color w:val="003366"/>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ind w:firstLine="0"/>
    </w:pPr>
    <w:rPr>
      <w:szCs w:val="24"/>
    </w:rPr>
  </w:style>
  <w:style w:type="paragraph" w:styleId="Liste">
    <w:name w:val="List"/>
    <w:basedOn w:val="Corpsdetexte"/>
    <w:rPr>
      <w:rFonts w:cs="Mangal"/>
    </w:rPr>
  </w:style>
  <w:style w:type="paragraph" w:customStyle="1" w:styleId="Lgende2">
    <w:name w:val="Légende2"/>
    <w:basedOn w:val="Normal"/>
    <w:pPr>
      <w:suppressLineNumbers/>
      <w:spacing w:before="120" w:after="120"/>
    </w:pPr>
    <w:rPr>
      <w:rFonts w:cs="Mangal"/>
      <w:i/>
      <w:iCs/>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customStyle="1" w:styleId="Lgende1">
    <w:name w:val="Légende1"/>
    <w:basedOn w:val="Normal"/>
    <w:pPr>
      <w:suppressLineNumbers/>
      <w:spacing w:before="120" w:after="120"/>
    </w:pPr>
    <w:rPr>
      <w:rFonts w:cs="Mangal"/>
      <w:i/>
      <w:iCs/>
      <w:szCs w:val="24"/>
    </w:rPr>
  </w:style>
  <w:style w:type="paragraph" w:styleId="Pieddepage">
    <w:name w:val="footer"/>
    <w:basedOn w:val="Normal"/>
    <w:pPr>
      <w:tabs>
        <w:tab w:val="right" w:pos="12333"/>
      </w:tabs>
      <w:ind w:firstLine="0"/>
      <w:jc w:val="right"/>
    </w:pPr>
    <w:rPr>
      <w:sz w:val="16"/>
    </w:rPr>
  </w:style>
  <w:style w:type="paragraph" w:styleId="TM1">
    <w:name w:val="toc 1"/>
    <w:next w:val="Normal"/>
    <w:pPr>
      <w:tabs>
        <w:tab w:val="left" w:pos="425"/>
        <w:tab w:val="right" w:leader="dot" w:pos="10432"/>
      </w:tabs>
      <w:suppressAutoHyphens/>
      <w:spacing w:before="240" w:line="300" w:lineRule="atLeast"/>
      <w:ind w:left="426" w:hanging="426"/>
    </w:pPr>
    <w:rPr>
      <w:rFonts w:eastAsia="Arial"/>
      <w:b/>
      <w:caps/>
      <w:sz w:val="28"/>
      <w:lang w:eastAsia="ar-SA"/>
    </w:rPr>
  </w:style>
  <w:style w:type="paragraph" w:styleId="TM2">
    <w:name w:val="toc 2"/>
    <w:next w:val="Normal"/>
    <w:pPr>
      <w:tabs>
        <w:tab w:val="left" w:pos="1134"/>
        <w:tab w:val="right" w:leader="dot" w:pos="10432"/>
      </w:tabs>
      <w:suppressAutoHyphens/>
      <w:spacing w:line="300" w:lineRule="atLeast"/>
      <w:ind w:left="1134" w:hanging="709"/>
    </w:pPr>
    <w:rPr>
      <w:rFonts w:eastAsia="Arial"/>
      <w:b/>
      <w:sz w:val="24"/>
      <w:lang w:eastAsia="ar-SA"/>
    </w:rPr>
  </w:style>
  <w:style w:type="paragraph" w:styleId="TM3">
    <w:name w:val="toc 3"/>
    <w:next w:val="Normal"/>
    <w:pPr>
      <w:tabs>
        <w:tab w:val="left" w:pos="1985"/>
        <w:tab w:val="right" w:leader="dot" w:pos="10432"/>
      </w:tabs>
      <w:suppressAutoHyphens/>
      <w:spacing w:line="300" w:lineRule="atLeast"/>
      <w:ind w:left="1984" w:hanging="992"/>
    </w:pPr>
    <w:rPr>
      <w:rFonts w:eastAsia="Arial"/>
      <w:b/>
      <w:i/>
      <w:sz w:val="24"/>
      <w:lang w:eastAsia="ar-SA"/>
    </w:rPr>
  </w:style>
  <w:style w:type="paragraph" w:styleId="TM4">
    <w:name w:val="toc 4"/>
    <w:next w:val="Normal"/>
    <w:pPr>
      <w:tabs>
        <w:tab w:val="left" w:pos="2410"/>
        <w:tab w:val="right" w:leader="dot" w:pos="10432"/>
      </w:tabs>
      <w:suppressAutoHyphens/>
      <w:ind w:left="2410" w:hanging="709"/>
    </w:pPr>
    <w:rPr>
      <w:rFonts w:eastAsia="Arial"/>
      <w:sz w:val="22"/>
      <w:lang w:eastAsia="ar-SA"/>
    </w:rPr>
  </w:style>
  <w:style w:type="paragraph" w:styleId="TM5">
    <w:name w:val="toc 5"/>
    <w:next w:val="Normal"/>
    <w:pPr>
      <w:tabs>
        <w:tab w:val="left" w:pos="2694"/>
        <w:tab w:val="right" w:leader="dot" w:pos="10432"/>
      </w:tabs>
      <w:suppressAutoHyphens/>
      <w:ind w:left="2694" w:hanging="993"/>
    </w:pPr>
    <w:rPr>
      <w:rFonts w:eastAsia="Arial"/>
      <w:sz w:val="22"/>
      <w:lang w:eastAsia="ar-SA"/>
    </w:rPr>
  </w:style>
  <w:style w:type="paragraph" w:styleId="TM6">
    <w:name w:val="toc 6"/>
    <w:next w:val="Normal"/>
    <w:pPr>
      <w:tabs>
        <w:tab w:val="left" w:pos="2835"/>
        <w:tab w:val="right" w:leader="dot" w:pos="10432"/>
      </w:tabs>
      <w:suppressAutoHyphens/>
      <w:ind w:left="2835" w:hanging="1134"/>
    </w:pPr>
    <w:rPr>
      <w:rFonts w:eastAsia="Arial"/>
      <w:i/>
      <w:sz w:val="22"/>
      <w:lang w:eastAsia="ar-SA"/>
    </w:rPr>
  </w:style>
  <w:style w:type="paragraph" w:styleId="TM7">
    <w:name w:val="toc 7"/>
    <w:next w:val="Normal"/>
    <w:pPr>
      <w:tabs>
        <w:tab w:val="left" w:pos="2977"/>
        <w:tab w:val="right" w:leader="dot" w:pos="10432"/>
      </w:tabs>
      <w:suppressAutoHyphens/>
      <w:ind w:left="2977" w:hanging="1276"/>
    </w:pPr>
    <w:rPr>
      <w:rFonts w:eastAsia="Arial"/>
      <w:i/>
      <w:lang w:eastAsia="ar-SA"/>
    </w:rPr>
  </w:style>
  <w:style w:type="paragraph" w:styleId="TM8">
    <w:name w:val="toc 8"/>
    <w:next w:val="Normal"/>
    <w:pPr>
      <w:tabs>
        <w:tab w:val="left" w:pos="3119"/>
        <w:tab w:val="right" w:leader="dot" w:pos="10432"/>
      </w:tabs>
      <w:suppressAutoHyphens/>
      <w:ind w:left="3119" w:hanging="1418"/>
    </w:pPr>
    <w:rPr>
      <w:rFonts w:eastAsia="Arial"/>
      <w:i/>
      <w:lang w:eastAsia="ar-SA"/>
    </w:rPr>
  </w:style>
  <w:style w:type="paragraph" w:styleId="TM9">
    <w:name w:val="toc 9"/>
    <w:next w:val="Normal"/>
    <w:pPr>
      <w:tabs>
        <w:tab w:val="left" w:pos="3261"/>
        <w:tab w:val="right" w:leader="dot" w:pos="10432"/>
      </w:tabs>
      <w:suppressAutoHyphens/>
      <w:ind w:left="3261" w:hanging="1560"/>
    </w:pPr>
    <w:rPr>
      <w:rFonts w:eastAsia="Arial"/>
      <w:i/>
      <w:lang w:eastAsia="ar-SA"/>
    </w:rPr>
  </w:style>
  <w:style w:type="paragraph" w:customStyle="1" w:styleId="Equation">
    <w:name w:val="Equation"/>
    <w:basedOn w:val="Normal"/>
    <w:next w:val="Normal"/>
    <w:pPr>
      <w:tabs>
        <w:tab w:val="center" w:pos="5245"/>
        <w:tab w:val="right" w:pos="10206"/>
      </w:tabs>
      <w:ind w:firstLine="0"/>
      <w:jc w:val="left"/>
    </w:pPr>
  </w:style>
  <w:style w:type="paragraph" w:customStyle="1" w:styleId="Titre0">
    <w:name w:val="Titre 0"/>
    <w:next w:val="Auteurs"/>
    <w:pPr>
      <w:suppressAutoHyphens/>
      <w:spacing w:before="600" w:after="400"/>
      <w:jc w:val="center"/>
    </w:pPr>
    <w:rPr>
      <w:rFonts w:eastAsia="Arial"/>
      <w:b/>
      <w:sz w:val="36"/>
      <w:lang w:eastAsia="ar-SA"/>
    </w:rPr>
  </w:style>
  <w:style w:type="paragraph" w:customStyle="1" w:styleId="TitreTDM">
    <w:name w:val="Titre TDM"/>
    <w:basedOn w:val="Titre1"/>
    <w:next w:val="Normal"/>
    <w:pPr>
      <w:numPr>
        <w:numId w:val="0"/>
      </w:numPr>
      <w:jc w:val="center"/>
    </w:pPr>
  </w:style>
  <w:style w:type="paragraph" w:customStyle="1" w:styleId="Lgendetable">
    <w:name w:val="Légende table"/>
    <w:basedOn w:val="Normal"/>
    <w:next w:val="Corpsdetextecentr"/>
    <w:pPr>
      <w:keepNext/>
      <w:ind w:firstLine="0"/>
      <w:jc w:val="center"/>
    </w:pPr>
    <w:rPr>
      <w:i/>
      <w:sz w:val="22"/>
    </w:rPr>
  </w:style>
  <w:style w:type="paragraph" w:customStyle="1" w:styleId="Lgendefigure">
    <w:name w:val="Légende figure"/>
    <w:basedOn w:val="Lgendetable"/>
    <w:next w:val="Corpsdetextecentr"/>
  </w:style>
  <w:style w:type="paragraph" w:customStyle="1" w:styleId="Numerodepage">
    <w:name w:val="Numero de page"/>
    <w:basedOn w:val="Normal"/>
    <w:pPr>
      <w:tabs>
        <w:tab w:val="right" w:pos="10206"/>
      </w:tabs>
      <w:spacing w:before="120"/>
      <w:ind w:firstLine="0"/>
      <w:jc w:val="left"/>
    </w:pPr>
    <w:rPr>
      <w:sz w:val="20"/>
    </w:rPr>
  </w:style>
  <w:style w:type="paragraph" w:styleId="Retraitcorpsdetexte">
    <w:name w:val="Body Text Indent"/>
    <w:basedOn w:val="Normal"/>
    <w:pPr>
      <w:ind w:firstLine="720"/>
    </w:pPr>
    <w:rPr>
      <w:szCs w:val="24"/>
    </w:rPr>
  </w:style>
  <w:style w:type="paragraph" w:customStyle="1" w:styleId="EnumrationPuceCarr">
    <w:name w:val="Enumération Puce Carré"/>
    <w:pPr>
      <w:numPr>
        <w:numId w:val="3"/>
      </w:numPr>
      <w:tabs>
        <w:tab w:val="left" w:pos="1069"/>
      </w:tabs>
      <w:suppressAutoHyphens/>
      <w:spacing w:line="300" w:lineRule="atLeast"/>
      <w:ind w:left="1066" w:hanging="357"/>
      <w:jc w:val="both"/>
    </w:pPr>
    <w:rPr>
      <w:rFonts w:eastAsia="Arial"/>
      <w:sz w:val="24"/>
      <w:lang w:eastAsia="ar-SA"/>
    </w:rPr>
  </w:style>
  <w:style w:type="paragraph" w:customStyle="1" w:styleId="EnumrationPuceTiret">
    <w:name w:val="Enumération Puce Tiret"/>
    <w:pPr>
      <w:numPr>
        <w:numId w:val="4"/>
      </w:numPr>
      <w:tabs>
        <w:tab w:val="left" w:pos="1072"/>
      </w:tabs>
      <w:suppressAutoHyphens/>
      <w:spacing w:line="300" w:lineRule="atLeast"/>
      <w:ind w:left="1066" w:hanging="357"/>
      <w:jc w:val="both"/>
    </w:pPr>
    <w:rPr>
      <w:rFonts w:eastAsia="Arial"/>
      <w:sz w:val="24"/>
      <w:lang w:eastAsia="ar-SA"/>
    </w:rPr>
  </w:style>
  <w:style w:type="paragraph" w:customStyle="1" w:styleId="RfrenceBibliographique">
    <w:name w:val="Référence Bibliographique"/>
    <w:basedOn w:val="Normal"/>
    <w:pPr>
      <w:numPr>
        <w:numId w:val="2"/>
      </w:numPr>
      <w:tabs>
        <w:tab w:val="left" w:pos="454"/>
      </w:tabs>
      <w:spacing w:before="120"/>
      <w:jc w:val="left"/>
    </w:pPr>
    <w:rPr>
      <w:sz w:val="22"/>
    </w:rPr>
  </w:style>
  <w:style w:type="paragraph" w:customStyle="1" w:styleId="Retraitcorpsdetexte21">
    <w:name w:val="Retrait corps de texte 21"/>
    <w:basedOn w:val="Normal"/>
  </w:style>
  <w:style w:type="paragraph" w:customStyle="1" w:styleId="En-tte-titre">
    <w:name w:val="En-tête - titre"/>
    <w:basedOn w:val="Normal"/>
    <w:pPr>
      <w:spacing w:before="480" w:after="560"/>
      <w:ind w:firstLine="0"/>
      <w:jc w:val="center"/>
    </w:pPr>
    <w:rPr>
      <w:i/>
      <w:sz w:val="20"/>
    </w:rPr>
  </w:style>
  <w:style w:type="paragraph" w:customStyle="1" w:styleId="En-tte-auteurs">
    <w:name w:val="En-tête - auteurs"/>
    <w:basedOn w:val="Normal"/>
    <w:pPr>
      <w:spacing w:before="480" w:after="560"/>
      <w:ind w:firstLine="0"/>
      <w:jc w:val="center"/>
    </w:pPr>
    <w:rPr>
      <w:i/>
      <w:sz w:val="20"/>
    </w:rPr>
  </w:style>
  <w:style w:type="paragraph" w:customStyle="1" w:styleId="Auteurs">
    <w:name w:val="Auteurs"/>
    <w:basedOn w:val="Corpsdetexte"/>
    <w:next w:val="Adresseauteurs"/>
    <w:pPr>
      <w:spacing w:after="200"/>
      <w:jc w:val="center"/>
    </w:pPr>
    <w:rPr>
      <w:b/>
    </w:rPr>
  </w:style>
  <w:style w:type="paragraph" w:customStyle="1" w:styleId="Corpsdetextecentr">
    <w:name w:val="Corps de texte centré"/>
    <w:basedOn w:val="Corpsdetexte"/>
    <w:pPr>
      <w:jc w:val="center"/>
    </w:pPr>
  </w:style>
  <w:style w:type="paragraph" w:styleId="En-tte">
    <w:name w:val="header"/>
    <w:basedOn w:val="Normal"/>
    <w:pPr>
      <w:tabs>
        <w:tab w:val="center" w:pos="4536"/>
        <w:tab w:val="right" w:pos="9072"/>
      </w:tabs>
    </w:pPr>
  </w:style>
  <w:style w:type="paragraph" w:customStyle="1" w:styleId="TitreRsum">
    <w:name w:val="Titre Résumé"/>
    <w:basedOn w:val="Corpsdetextecentr"/>
    <w:next w:val="Normal"/>
    <w:pPr>
      <w:spacing w:before="240"/>
    </w:pPr>
    <w:rPr>
      <w:b/>
      <w:i/>
    </w:rPr>
  </w:style>
  <w:style w:type="paragraph" w:customStyle="1" w:styleId="Adresseauteurs">
    <w:name w:val="Adresse auteurs"/>
    <w:basedOn w:val="Auteurs"/>
    <w:pPr>
      <w:spacing w:after="0"/>
    </w:pPr>
    <w:rPr>
      <w:b w:val="0"/>
    </w:rPr>
  </w:style>
  <w:style w:type="paragraph" w:styleId="Notedebasdepage">
    <w:name w:val="footnote text"/>
    <w:basedOn w:val="Normal"/>
    <w:rPr>
      <w:sz w:val="20"/>
    </w:rPr>
  </w:style>
  <w:style w:type="paragraph" w:customStyle="1" w:styleId="HTMLBody">
    <w:name w:val="HTML Body"/>
    <w:pPr>
      <w:suppressAutoHyphens/>
      <w:autoSpaceDE w:val="0"/>
    </w:pPr>
    <w:rPr>
      <w:rFonts w:ascii="Comic Sans MS" w:eastAsia="Arial" w:hAnsi="Comic Sans MS"/>
      <w:lang w:eastAsia="ar-SA"/>
    </w:rPr>
  </w:style>
  <w:style w:type="paragraph" w:customStyle="1" w:styleId="Rsum">
    <w:name w:val="Résumé"/>
    <w:basedOn w:val="Lgendefigure"/>
    <w:pPr>
      <w:jc w:val="left"/>
    </w:pPr>
  </w:style>
  <w:style w:type="paragraph" w:customStyle="1" w:styleId="Remerciements">
    <w:name w:val="Remerciements"/>
    <w:basedOn w:val="Rsum"/>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p12">
    <w:name w:val="p12"/>
    <w:basedOn w:val="Normal"/>
    <w:pPr>
      <w:widowControl w:val="0"/>
      <w:tabs>
        <w:tab w:val="left" w:pos="720"/>
      </w:tabs>
      <w:spacing w:line="24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916</Words>
  <Characters>5043</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Modèle de publication GN-MEBA</vt:lpstr>
    </vt:vector>
  </TitlesOfParts>
  <Company>CMTC</Company>
  <LinksUpToDate>false</LinksUpToDate>
  <CharactersWithSpaces>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publication GN-MEBA</dc:title>
  <dc:creator>Frédéric Charlot</dc:creator>
  <dc:description>pouchou@onera.fr</dc:description>
  <cp:lastModifiedBy>fb</cp:lastModifiedBy>
  <cp:revision>3</cp:revision>
  <cp:lastPrinted>2012-05-02T05:29:00Z</cp:lastPrinted>
  <dcterms:created xsi:type="dcterms:W3CDTF">2017-06-20T10:19:00Z</dcterms:created>
  <dcterms:modified xsi:type="dcterms:W3CDTF">2017-06-20T10:22:00Z</dcterms:modified>
</cp:coreProperties>
</file>