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162" w:rsidRPr="00492837" w:rsidRDefault="00A043F6" w:rsidP="00F26162">
      <w:pPr>
        <w:spacing w:after="200" w:line="276" w:lineRule="auto"/>
        <w:ind w:firstLine="0"/>
        <w:jc w:val="center"/>
        <w:rPr>
          <w:rFonts w:asciiTheme="minorHAnsi" w:eastAsia="Calibri" w:hAnsiTheme="minorHAnsi"/>
          <w:b/>
          <w:bCs/>
          <w:sz w:val="32"/>
          <w:szCs w:val="22"/>
          <w:lang w:eastAsia="en-US"/>
        </w:rPr>
      </w:pPr>
      <w:r w:rsidRPr="00492837">
        <w:rPr>
          <w:rFonts w:asciiTheme="minorHAnsi" w:eastAsia="Calibri" w:hAnsiTheme="minorHAnsi"/>
          <w:b/>
          <w:bCs/>
          <w:sz w:val="32"/>
          <w:szCs w:val="22"/>
          <w:lang w:eastAsia="en-US"/>
        </w:rPr>
        <w:t>TD</w:t>
      </w:r>
      <w:r w:rsidR="00492837" w:rsidRPr="00492837">
        <w:rPr>
          <w:rFonts w:asciiTheme="minorHAnsi" w:eastAsia="Calibri" w:hAnsiTheme="minorHAnsi"/>
          <w:b/>
          <w:bCs/>
          <w:sz w:val="32"/>
          <w:szCs w:val="22"/>
          <w:lang w:eastAsia="en-US"/>
        </w:rPr>
        <w:t>C-07</w:t>
      </w:r>
      <w:r w:rsidRPr="00492837">
        <w:rPr>
          <w:rFonts w:asciiTheme="minorHAnsi" w:eastAsia="Calibri" w:hAnsiTheme="minorHAnsi"/>
          <w:b/>
          <w:bCs/>
          <w:sz w:val="32"/>
          <w:szCs w:val="22"/>
          <w:lang w:eastAsia="en-US"/>
        </w:rPr>
        <w:t xml:space="preserve"> : </w:t>
      </w:r>
      <w:r w:rsidR="00492837" w:rsidRPr="00492837">
        <w:rPr>
          <w:rFonts w:asciiTheme="minorHAnsi" w:eastAsia="Calibri" w:hAnsiTheme="minorHAnsi"/>
          <w:b/>
          <w:bCs/>
          <w:sz w:val="32"/>
          <w:szCs w:val="22"/>
          <w:lang w:eastAsia="en-US"/>
        </w:rPr>
        <w:t xml:space="preserve">Echantillons fragiles et isolants </w:t>
      </w:r>
      <w:r w:rsidR="00F26162" w:rsidRPr="00492837">
        <w:rPr>
          <w:rFonts w:asciiTheme="minorHAnsi" w:eastAsia="Calibri" w:hAnsiTheme="minorHAnsi"/>
          <w:bCs/>
          <w:szCs w:val="22"/>
          <w:lang w:eastAsia="en-US"/>
        </w:rPr>
        <w:t xml:space="preserve">(durée </w:t>
      </w:r>
      <w:r w:rsidR="0086728B" w:rsidRPr="00492837">
        <w:rPr>
          <w:rFonts w:asciiTheme="minorHAnsi" w:eastAsia="Calibri" w:hAnsiTheme="minorHAnsi"/>
          <w:bCs/>
          <w:szCs w:val="22"/>
          <w:lang w:eastAsia="en-US"/>
        </w:rPr>
        <w:t>1</w:t>
      </w:r>
      <w:r w:rsidR="008F0DA9" w:rsidRPr="00492837">
        <w:rPr>
          <w:rFonts w:asciiTheme="minorHAnsi" w:eastAsia="Calibri" w:hAnsiTheme="minorHAnsi"/>
          <w:bCs/>
          <w:szCs w:val="22"/>
          <w:lang w:eastAsia="en-US"/>
        </w:rPr>
        <w:t>h</w:t>
      </w:r>
      <w:r w:rsidR="0086728B" w:rsidRPr="00492837">
        <w:rPr>
          <w:rFonts w:asciiTheme="minorHAnsi" w:eastAsia="Calibri" w:hAnsiTheme="minorHAnsi"/>
          <w:bCs/>
          <w:szCs w:val="22"/>
          <w:lang w:eastAsia="en-US"/>
        </w:rPr>
        <w:t>3</w:t>
      </w:r>
      <w:r w:rsidR="003D6CE0" w:rsidRPr="00492837">
        <w:rPr>
          <w:rFonts w:asciiTheme="minorHAnsi" w:eastAsia="Calibri" w:hAnsiTheme="minorHAnsi"/>
          <w:bCs/>
          <w:szCs w:val="22"/>
          <w:lang w:eastAsia="en-US"/>
        </w:rPr>
        <w:t>0</w:t>
      </w:r>
      <w:r w:rsidR="00F26162" w:rsidRPr="00492837">
        <w:rPr>
          <w:rFonts w:asciiTheme="minorHAnsi" w:eastAsia="Calibri" w:hAnsiTheme="minorHAnsi"/>
          <w:bCs/>
          <w:szCs w:val="22"/>
          <w:lang w:eastAsia="en-US"/>
        </w:rPr>
        <w:t>)</w:t>
      </w:r>
    </w:p>
    <w:p w:rsidR="00F26162" w:rsidRPr="003D6CE0" w:rsidRDefault="00650753" w:rsidP="00F26162">
      <w:pPr>
        <w:spacing w:after="200" w:line="276" w:lineRule="auto"/>
        <w:ind w:firstLine="0"/>
        <w:jc w:val="center"/>
        <w:rPr>
          <w:rFonts w:asciiTheme="minorHAnsi" w:eastAsia="Calibri" w:hAnsiTheme="minorHAnsi"/>
          <w:b/>
          <w:bCs/>
          <w:szCs w:val="24"/>
          <w:lang w:eastAsia="en-US"/>
        </w:rPr>
      </w:pPr>
      <w:r>
        <w:rPr>
          <w:rFonts w:asciiTheme="minorHAnsi" w:eastAsia="Calibri" w:hAnsiTheme="minorHAnsi"/>
          <w:b/>
          <w:bCs/>
          <w:szCs w:val="24"/>
          <w:lang w:eastAsia="en-US"/>
        </w:rPr>
        <w:t>Coordinateur</w:t>
      </w:r>
      <w:r w:rsidR="00F26162" w:rsidRPr="003D6CE0">
        <w:rPr>
          <w:rFonts w:asciiTheme="minorHAnsi" w:eastAsia="Calibri" w:hAnsiTheme="minorHAnsi"/>
          <w:b/>
          <w:bCs/>
          <w:szCs w:val="24"/>
          <w:lang w:eastAsia="en-US"/>
        </w:rPr>
        <w:t xml:space="preserve"> : </w:t>
      </w:r>
      <w:r w:rsidR="004F113D">
        <w:rPr>
          <w:rFonts w:asciiTheme="minorHAnsi" w:eastAsia="Calibri" w:hAnsiTheme="minorHAnsi"/>
          <w:b/>
          <w:bCs/>
          <w:szCs w:val="24"/>
          <w:lang w:eastAsia="en-US"/>
        </w:rPr>
        <w:t>Alain JADIN</w:t>
      </w:r>
    </w:p>
    <w:p w:rsidR="009B0F08" w:rsidRPr="003D6CE0" w:rsidRDefault="004F113D" w:rsidP="0086728B">
      <w:pPr>
        <w:spacing w:line="288" w:lineRule="auto"/>
        <w:ind w:firstLine="0"/>
        <w:jc w:val="center"/>
        <w:rPr>
          <w:rFonts w:asciiTheme="minorHAnsi" w:hAnsiTheme="minorHAnsi"/>
        </w:rPr>
      </w:pPr>
      <w:bookmarkStart w:id="0" w:name="_Toc31443577"/>
      <w:r w:rsidRPr="004F113D">
        <w:rPr>
          <w:rFonts w:asciiTheme="minorHAnsi" w:hAnsiTheme="minorHAnsi"/>
          <w:color w:val="3333FF"/>
        </w:rPr>
        <w:t>alain.jadin@certech.be</w:t>
      </w:r>
    </w:p>
    <w:p w:rsidR="009B2A06" w:rsidRPr="003D6CE0" w:rsidRDefault="009B2A06" w:rsidP="003E0EBB">
      <w:pPr>
        <w:spacing w:line="360" w:lineRule="auto"/>
        <w:ind w:firstLine="0"/>
        <w:jc w:val="center"/>
        <w:rPr>
          <w:rFonts w:asciiTheme="minorHAnsi" w:hAnsiTheme="minorHAnsi"/>
        </w:rPr>
      </w:pPr>
    </w:p>
    <w:p w:rsidR="009B2A06" w:rsidRPr="003D6CE0" w:rsidRDefault="009B2A06" w:rsidP="003E0EBB">
      <w:pPr>
        <w:spacing w:line="360" w:lineRule="auto"/>
        <w:ind w:firstLine="0"/>
        <w:jc w:val="center"/>
        <w:rPr>
          <w:rFonts w:asciiTheme="minorHAnsi" w:hAnsiTheme="minorHAnsi"/>
        </w:rPr>
      </w:pPr>
    </w:p>
    <w:p w:rsidR="001D1A9E" w:rsidRPr="001D1A9E" w:rsidRDefault="001D1A9E" w:rsidP="001D1A9E">
      <w:pPr>
        <w:pStyle w:val="Rsum"/>
        <w:rPr>
          <w:rFonts w:asciiTheme="minorHAnsi" w:hAnsiTheme="minorHAnsi"/>
        </w:rPr>
      </w:pPr>
      <w:r w:rsidRPr="001D1A9E">
        <w:rPr>
          <w:rFonts w:asciiTheme="minorHAnsi" w:hAnsiTheme="minorHAnsi"/>
          <w:b/>
          <w:bCs/>
          <w:u w:val="single"/>
        </w:rPr>
        <w:t>Résumé</w:t>
      </w:r>
      <w:r w:rsidRPr="001D1A9E">
        <w:rPr>
          <w:rFonts w:asciiTheme="minorHAnsi" w:hAnsiTheme="minorHAnsi"/>
        </w:rPr>
        <w:t xml:space="preserve"> : </w:t>
      </w:r>
    </w:p>
    <w:p w:rsidR="001D1A9E" w:rsidRPr="001D1A9E" w:rsidRDefault="001D1A9E" w:rsidP="001D1A9E">
      <w:pPr>
        <w:pStyle w:val="Rsum"/>
        <w:rPr>
          <w:rFonts w:asciiTheme="minorHAnsi" w:hAnsiTheme="minorHAnsi"/>
        </w:rPr>
      </w:pPr>
    </w:p>
    <w:p w:rsidR="001D1A9E" w:rsidRPr="001D1A9E" w:rsidRDefault="001D1A9E" w:rsidP="001D1A9E">
      <w:pPr>
        <w:pStyle w:val="Rsum"/>
        <w:jc w:val="both"/>
        <w:rPr>
          <w:rFonts w:asciiTheme="minorHAnsi" w:hAnsiTheme="minorHAnsi"/>
          <w:lang w:val="fr-BE"/>
        </w:rPr>
      </w:pPr>
      <w:r w:rsidRPr="001D1A9E">
        <w:rPr>
          <w:rFonts w:asciiTheme="minorHAnsi" w:hAnsiTheme="minorHAnsi"/>
          <w:lang w:val="fr-BE"/>
        </w:rPr>
        <w:t>Les polymères constituent un exemple remarquable de matériaux fragiles et isolants.</w:t>
      </w:r>
    </w:p>
    <w:p w:rsidR="001D1A9E" w:rsidRPr="001D1A9E" w:rsidRDefault="001D1A9E" w:rsidP="001D1A9E">
      <w:pPr>
        <w:pStyle w:val="Rsum"/>
        <w:jc w:val="both"/>
        <w:rPr>
          <w:rFonts w:asciiTheme="minorHAnsi" w:hAnsiTheme="minorHAnsi"/>
        </w:rPr>
      </w:pPr>
      <w:r w:rsidRPr="001D1A9E">
        <w:rPr>
          <w:rFonts w:asciiTheme="minorHAnsi" w:hAnsiTheme="minorHAnsi"/>
        </w:rPr>
        <w:t xml:space="preserve">L’observation et la microanalyse des polymères dans un MEB présentent donc de nombreux aspects spécifiques : effets de charge, détérioration sous le faisceau, images peu contrastées, etc. </w:t>
      </w:r>
    </w:p>
    <w:p w:rsidR="001D1A9E" w:rsidRPr="001D1A9E" w:rsidRDefault="001D1A9E" w:rsidP="001D1A9E">
      <w:pPr>
        <w:pStyle w:val="Rsum"/>
        <w:jc w:val="both"/>
        <w:rPr>
          <w:rFonts w:asciiTheme="minorHAnsi" w:hAnsiTheme="minorHAnsi"/>
        </w:rPr>
      </w:pPr>
      <w:r w:rsidRPr="001D1A9E">
        <w:rPr>
          <w:rFonts w:asciiTheme="minorHAnsi" w:hAnsiTheme="minorHAnsi"/>
        </w:rPr>
        <w:t>Quelques échantillons représentatifs seront observés et commentés lors de cette séance, afin d’attirer l’attention des stagiaires sur les particularités de ces matériaux, les possibilités et les limitations de l’observation et de la microanalyse dans un MEB. Un oxyde métallique déposé sur verre sera également observé.  On montrera aussi les avantages apportés par les microscopes à pression variable ou à chambre environnementale.</w:t>
      </w:r>
    </w:p>
    <w:p w:rsidR="001D1A9E" w:rsidRPr="001D1A9E" w:rsidRDefault="001D1A9E" w:rsidP="001D1A9E">
      <w:pPr>
        <w:pStyle w:val="Rsum"/>
        <w:rPr>
          <w:rFonts w:asciiTheme="minorHAnsi" w:hAnsiTheme="minorHAnsi"/>
        </w:rPr>
      </w:pPr>
    </w:p>
    <w:p w:rsidR="001D1A9E" w:rsidRDefault="001D1A9E" w:rsidP="001D1A9E">
      <w:pPr>
        <w:pStyle w:val="Rsum"/>
      </w:pPr>
    </w:p>
    <w:p w:rsidR="001D1A9E" w:rsidRPr="001D1A9E" w:rsidRDefault="001D1A9E" w:rsidP="001D1A9E">
      <w:pPr>
        <w:pStyle w:val="Titre1"/>
        <w:tabs>
          <w:tab w:val="clear" w:pos="360"/>
        </w:tabs>
        <w:ind w:left="454" w:hanging="454"/>
        <w:rPr>
          <w:rFonts w:asciiTheme="minorHAnsi" w:hAnsiTheme="minorHAnsi"/>
        </w:rPr>
      </w:pPr>
      <w:r w:rsidRPr="001D1A9E">
        <w:rPr>
          <w:rFonts w:asciiTheme="minorHAnsi" w:hAnsiTheme="minorHAnsi"/>
        </w:rPr>
        <w:t>Objectif</w:t>
      </w:r>
    </w:p>
    <w:p w:rsidR="001D1A9E" w:rsidRPr="001D1A9E" w:rsidRDefault="001D1A9E" w:rsidP="001D1A9E">
      <w:pPr>
        <w:rPr>
          <w:rFonts w:asciiTheme="minorHAnsi" w:hAnsiTheme="minorHAnsi"/>
        </w:rPr>
      </w:pPr>
    </w:p>
    <w:p w:rsidR="001D1A9E" w:rsidRPr="001D1A9E" w:rsidRDefault="001D1A9E" w:rsidP="001D1A9E">
      <w:pPr>
        <w:rPr>
          <w:rFonts w:asciiTheme="minorHAnsi" w:hAnsiTheme="minorHAnsi"/>
        </w:rPr>
      </w:pPr>
      <w:r w:rsidRPr="001D1A9E">
        <w:rPr>
          <w:rFonts w:asciiTheme="minorHAnsi" w:hAnsiTheme="minorHAnsi"/>
        </w:rPr>
        <w:t>Au cours de cette séance, l’opérateur sera sensibilisé à la problématique de l’observation d’échantillons isolants dans un MEB. On montrera les particularités de ce type d’observation, au moyen d’échantillons représentatifs : polymère chargé, composite polymère-bois, bouchon synthétique, papier enduit d’une couche de silicone, éponge cellulosique. On montrera également l’exemple d’un dépôt d’oxyde sur une plaque de verre. L’incidence de paramètres tels que le mode de travail, la pression dans la chambre, le détecteur, la tension d’accélération, etc. sera mise en évidence sur base de ces exemples.</w:t>
      </w:r>
    </w:p>
    <w:p w:rsidR="001D1A9E" w:rsidRPr="001D1A9E" w:rsidRDefault="001D1A9E" w:rsidP="001D1A9E">
      <w:pPr>
        <w:rPr>
          <w:rFonts w:asciiTheme="minorHAnsi" w:hAnsiTheme="minorHAnsi"/>
          <w:i/>
        </w:rPr>
      </w:pPr>
      <w:r w:rsidRPr="001D1A9E">
        <w:rPr>
          <w:rFonts w:asciiTheme="minorHAnsi" w:hAnsiTheme="minorHAnsi"/>
          <w:i/>
        </w:rPr>
        <w:t>NB. Le choix des exemples pourra être orienté en fonction de l’intérêt des stagiaires.</w:t>
      </w:r>
    </w:p>
    <w:p w:rsidR="001D1A9E" w:rsidRPr="001D1A9E" w:rsidRDefault="001D1A9E" w:rsidP="001D1A9E">
      <w:pPr>
        <w:rPr>
          <w:rFonts w:asciiTheme="minorHAnsi" w:hAnsiTheme="minorHAnsi"/>
        </w:rPr>
      </w:pPr>
      <w:r w:rsidRPr="001D1A9E">
        <w:rPr>
          <w:rFonts w:asciiTheme="minorHAnsi" w:hAnsiTheme="minorHAnsi"/>
        </w:rPr>
        <w:br w:type="page"/>
      </w:r>
    </w:p>
    <w:p w:rsidR="001D1A9E" w:rsidRPr="00AC64C9" w:rsidRDefault="001D1A9E" w:rsidP="001D1A9E">
      <w:pPr>
        <w:pStyle w:val="Titre1"/>
        <w:tabs>
          <w:tab w:val="clear" w:pos="360"/>
        </w:tabs>
        <w:ind w:left="454" w:hanging="454"/>
        <w:rPr>
          <w:rFonts w:asciiTheme="minorHAnsi" w:hAnsiTheme="minorHAnsi"/>
        </w:rPr>
      </w:pPr>
      <w:r w:rsidRPr="00AC64C9">
        <w:rPr>
          <w:rFonts w:asciiTheme="minorHAnsi" w:hAnsiTheme="minorHAnsi"/>
        </w:rPr>
        <w:lastRenderedPageBreak/>
        <w:t>Particularités de l’observation et de la microanalyse des polymères</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Interaction électrons-polymères</w:t>
      </w:r>
    </w:p>
    <w:p w:rsidR="001D1A9E" w:rsidRPr="00AC64C9" w:rsidRDefault="001D1A9E" w:rsidP="001D1A9E">
      <w:pPr>
        <w:rPr>
          <w:rFonts w:asciiTheme="minorHAnsi" w:hAnsiTheme="minorHAnsi"/>
        </w:rPr>
      </w:pPr>
      <w:r w:rsidRPr="00AC64C9">
        <w:rPr>
          <w:rFonts w:asciiTheme="minorHAnsi" w:hAnsiTheme="minorHAnsi"/>
        </w:rPr>
        <w:t xml:space="preserve">Etant donné la composition de ces matériaux, le </w:t>
      </w:r>
      <w:r w:rsidRPr="003F537D">
        <w:rPr>
          <w:rFonts w:asciiTheme="minorHAnsi" w:hAnsiTheme="minorHAnsi"/>
          <w:i/>
        </w:rPr>
        <w:t>volume d’interaction</w:t>
      </w:r>
      <w:r w:rsidRPr="00AC64C9">
        <w:rPr>
          <w:rFonts w:asciiTheme="minorHAnsi" w:hAnsiTheme="minorHAnsi"/>
        </w:rPr>
        <w:t xml:space="preserve"> peut atteindre </w:t>
      </w:r>
      <w:r w:rsidR="003F537D">
        <w:rPr>
          <w:rFonts w:asciiTheme="minorHAnsi" w:hAnsiTheme="minorHAnsi"/>
        </w:rPr>
        <w:t xml:space="preserve">une taille de </w:t>
      </w:r>
      <w:bookmarkStart w:id="1" w:name="_GoBack"/>
      <w:bookmarkEnd w:id="1"/>
      <w:r w:rsidRPr="00AC64C9">
        <w:rPr>
          <w:rFonts w:asciiTheme="minorHAnsi" w:hAnsiTheme="minorHAnsi"/>
        </w:rPr>
        <w:t>plusieurs microns lors du bombardement par un faisceau d’électrons dont l</w:t>
      </w:r>
      <w:r w:rsidR="00590409">
        <w:rPr>
          <w:rFonts w:asciiTheme="minorHAnsi" w:hAnsiTheme="minorHAnsi"/>
        </w:rPr>
        <w:t>a tension d’accélération</w:t>
      </w:r>
      <w:r w:rsidRPr="00AC64C9">
        <w:rPr>
          <w:rFonts w:asciiTheme="minorHAnsi" w:hAnsiTheme="minorHAnsi"/>
        </w:rPr>
        <w:t xml:space="preserve"> se situe entre 15 et 30 kV. A titre de comparaison, la profondeur de pénétration des électrons est de l’ordre de 8 µm dans le carbone à 30 kV, contre seulement 2 µm dans le fer. Ceci peut être critique lors de la comparaison entre les images électroniques et la microanalyse, en particulier dans les polymères chargés. Dans tous les cas, la résolution spatiale de la microanalyse X est donc nettement inférieure dans les matériaux organiques par rapport aux matériaux inorganiques. Cet effet se marque également lors de l’observation au moyen des électrons rétrodiffusés. </w:t>
      </w:r>
    </w:p>
    <w:p w:rsidR="001D1A9E" w:rsidRPr="00AC64C9" w:rsidRDefault="001D1A9E" w:rsidP="001D1A9E">
      <w:pPr>
        <w:ind w:firstLine="0"/>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Conductivité électrique et thermique</w:t>
      </w:r>
    </w:p>
    <w:p w:rsidR="001D1A9E" w:rsidRPr="00AC64C9" w:rsidRDefault="001D1A9E" w:rsidP="001D1A9E">
      <w:pPr>
        <w:rPr>
          <w:rFonts w:asciiTheme="minorHAnsi" w:hAnsiTheme="minorHAnsi"/>
        </w:rPr>
      </w:pPr>
      <w:r w:rsidRPr="00AC64C9">
        <w:rPr>
          <w:rFonts w:asciiTheme="minorHAnsi" w:hAnsiTheme="minorHAnsi"/>
        </w:rPr>
        <w:t>La conductivité thermique des polymères est très inférieure à celle des métaux (typiquement 3 ordres de grandeur). Lors d’une irradiation trop intense, ces matériaux subissent donc des dégradations qui modifient leur morphologie ou leur composition. Ceci peut simplement altérer le contraste, ou rendre l’analyse impossible. On peut remédier, dans une certaine mesure, à cet inconvénient en diminuant l’intensité du faisceau ou la tension d’accélération. Dans ce dernier cas, l’analyse EDS peut être compromise.</w:t>
      </w:r>
    </w:p>
    <w:p w:rsidR="001D1A9E" w:rsidRPr="00AC64C9" w:rsidRDefault="001D1A9E" w:rsidP="001D1A9E">
      <w:pPr>
        <w:rPr>
          <w:rFonts w:asciiTheme="minorHAnsi" w:hAnsiTheme="minorHAnsi"/>
        </w:rPr>
      </w:pPr>
      <w:r w:rsidRPr="00AC64C9">
        <w:rPr>
          <w:rFonts w:asciiTheme="minorHAnsi" w:hAnsiTheme="minorHAnsi"/>
        </w:rPr>
        <w:t>L’inconvénient majeur lors de l’observation des polymères ou des autres matériaux isolants était encore récemment leur très faible conductivité électrique intrinsèque (typiquement 20 ordres de grandeur plus faible que pour les métaux). Il peut être contourné de différentes façons. Tout d’abord, un revêtement conducteur peut être déposé sur la surface avant l’analyse. Suivant l’analyse réalisée, ce revêtement est constitué de carbone ou d’un métal (Au, Pd, Cr,…). Différentes méthodes de dépôt existent, avec une incidence plus ou moins importante sur la morphologie du revêtement. Lors de la microanalyse, les éléments présents dans ce revêtement peuvent également créer des artéfacts. L’utilisation d’un MEB à pression variable ou à chambre environnementale apporte une compensation de l’effet de charge, rendant possible l’observation et l’analyse de matériaux isolants sans restrictions majeures. Toutefois, lors de la microanalyse sous vide partiel, l’effet de diffusion du faisceau électronique par le gaz ambiant peut détériorer fortement la résolution latérale (</w:t>
      </w:r>
      <w:proofErr w:type="spellStart"/>
      <w:r w:rsidRPr="00AC64C9">
        <w:rPr>
          <w:rFonts w:asciiTheme="minorHAnsi" w:hAnsiTheme="minorHAnsi"/>
          <w:i/>
        </w:rPr>
        <w:t>beam</w:t>
      </w:r>
      <w:proofErr w:type="spellEnd"/>
      <w:r w:rsidRPr="00AC64C9">
        <w:rPr>
          <w:rFonts w:asciiTheme="minorHAnsi" w:hAnsiTheme="minorHAnsi"/>
          <w:i/>
        </w:rPr>
        <w:t xml:space="preserve"> </w:t>
      </w:r>
      <w:proofErr w:type="spellStart"/>
      <w:r w:rsidRPr="00AC64C9">
        <w:rPr>
          <w:rFonts w:asciiTheme="minorHAnsi" w:hAnsiTheme="minorHAnsi"/>
          <w:i/>
        </w:rPr>
        <w:t>skirt</w:t>
      </w:r>
      <w:proofErr w:type="spellEnd"/>
      <w:r w:rsidRPr="00AC64C9">
        <w:rPr>
          <w:rFonts w:asciiTheme="minorHAnsi" w:hAnsiTheme="minorHAnsi"/>
        </w:rPr>
        <w:t>).</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Morphologie</w:t>
      </w:r>
    </w:p>
    <w:p w:rsidR="001D1A9E" w:rsidRPr="00AC64C9" w:rsidRDefault="001D1A9E" w:rsidP="001D1A9E">
      <w:pPr>
        <w:rPr>
          <w:rFonts w:asciiTheme="minorHAnsi" w:hAnsiTheme="minorHAnsi"/>
        </w:rPr>
      </w:pPr>
      <w:r w:rsidRPr="00AC64C9">
        <w:rPr>
          <w:rFonts w:asciiTheme="minorHAnsi" w:hAnsiTheme="minorHAnsi"/>
        </w:rPr>
        <w:t>La surface d’un polymère de composition homogène présente généralement une morphologie offrant peu d’intérêt pour l’observation par MEB (aspect lisse, peu de contraste). Les structures cristallines qui apparaissent dans les polymères sont souvent observées par microscopie électronique en transmission, en combinant éventuellement des techniques de marquage sélectif. Des méthodes d’observation par MEB de la morphologie des polymères dans des mélanges ont été développées. Celles-ci sont notamment basées sur le décapage (« </w:t>
      </w:r>
      <w:proofErr w:type="spellStart"/>
      <w:r w:rsidRPr="00AC64C9">
        <w:rPr>
          <w:rFonts w:asciiTheme="minorHAnsi" w:hAnsiTheme="minorHAnsi"/>
        </w:rPr>
        <w:t>etching</w:t>
      </w:r>
      <w:proofErr w:type="spellEnd"/>
      <w:r w:rsidRPr="00AC64C9">
        <w:rPr>
          <w:rFonts w:asciiTheme="minorHAnsi" w:hAnsiTheme="minorHAnsi"/>
        </w:rPr>
        <w:t xml:space="preserve"> ») d’une phase pour en révéler une autre. Dans le cas des mélanges, on utilise un solvant spécifique d’une des phases. Pour les polymères semi-cristallins, des méthodes de décapage des phases amorphes ont été développées. Par contre, la présence de porosités, de </w:t>
      </w:r>
      <w:proofErr w:type="spellStart"/>
      <w:r w:rsidRPr="00AC64C9">
        <w:rPr>
          <w:rFonts w:asciiTheme="minorHAnsi" w:hAnsiTheme="minorHAnsi"/>
        </w:rPr>
        <w:t>micro-fissures</w:t>
      </w:r>
      <w:proofErr w:type="spellEnd"/>
      <w:r w:rsidRPr="00AC64C9">
        <w:rPr>
          <w:rFonts w:asciiTheme="minorHAnsi" w:hAnsiTheme="minorHAnsi"/>
        </w:rPr>
        <w:t xml:space="preserve">, de charges ou d’impuretés est facilement mise en évidence en combinant l’observation électronique et la microanalyse X. Le MEB devient alors un instrument de choix pour l’observation de fractures ou de surfaces polies ou rectifiées de polymères chargés. </w:t>
      </w:r>
    </w:p>
    <w:p w:rsidR="001D1A9E" w:rsidRPr="00AC64C9" w:rsidRDefault="001D1A9E" w:rsidP="001D1A9E">
      <w:pPr>
        <w:ind w:firstLine="0"/>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Composition</w:t>
      </w:r>
    </w:p>
    <w:p w:rsidR="001D1A9E" w:rsidRPr="00AC64C9" w:rsidRDefault="001D1A9E" w:rsidP="001D1A9E">
      <w:pPr>
        <w:rPr>
          <w:rFonts w:asciiTheme="minorHAnsi" w:hAnsiTheme="minorHAnsi"/>
        </w:rPr>
      </w:pPr>
      <w:r w:rsidRPr="00AC64C9">
        <w:rPr>
          <w:rFonts w:asciiTheme="minorHAnsi" w:hAnsiTheme="minorHAnsi"/>
        </w:rPr>
        <w:t xml:space="preserve">Les polymères sont composés en majorité de carbone et oxygène, et dans certains cas contiennent également de plus faibles quantités de chlore, azote, fluor, soufre... Il s’agit donc essentiellement d’éléments légers et le contraste des images électroniques fournies </w:t>
      </w:r>
      <w:proofErr w:type="gramStart"/>
      <w:r w:rsidRPr="00AC64C9">
        <w:rPr>
          <w:rFonts w:asciiTheme="minorHAnsi" w:hAnsiTheme="minorHAnsi"/>
        </w:rPr>
        <w:t>est</w:t>
      </w:r>
      <w:proofErr w:type="gramEnd"/>
      <w:r w:rsidRPr="00AC64C9">
        <w:rPr>
          <w:rFonts w:asciiTheme="minorHAnsi" w:hAnsiTheme="minorHAnsi"/>
        </w:rPr>
        <w:t xml:space="preserve"> généralement peu élevé. De plus, la quantification de ces éléments par EDS n’est pas optimale. Dans les polymères contenant des charges minérales, par contre, les images électroniques (notamment en électrons rétrodiffusés) et l’EDS permettent une détermination rapide de la nature et de la distribution de ces charges. Dans certains mélanges de polymères, un marquage sélectif préalable et une observation en électrons rétrodiffusés permettent de révéler les phases présentes.</w:t>
      </w:r>
    </w:p>
    <w:p w:rsidR="001D1A9E" w:rsidRPr="00AC64C9" w:rsidRDefault="001D1A9E" w:rsidP="001D1A9E">
      <w:pPr>
        <w:pStyle w:val="Titre1"/>
        <w:tabs>
          <w:tab w:val="clear" w:pos="360"/>
        </w:tabs>
        <w:ind w:left="454" w:hanging="454"/>
        <w:rPr>
          <w:rFonts w:asciiTheme="minorHAnsi" w:hAnsiTheme="minorHAnsi"/>
        </w:rPr>
      </w:pPr>
      <w:r w:rsidRPr="00AC64C9">
        <w:rPr>
          <w:rFonts w:asciiTheme="minorHAnsi" w:hAnsiTheme="minorHAnsi"/>
        </w:rPr>
        <w:t>Présentation et préparation du microscope</w:t>
      </w:r>
    </w:p>
    <w:p w:rsidR="001D1A9E" w:rsidRPr="00AC64C9" w:rsidRDefault="001D1A9E" w:rsidP="001D1A9E">
      <w:pPr>
        <w:numPr>
          <w:ilvl w:val="0"/>
          <w:numId w:val="33"/>
        </w:numPr>
        <w:rPr>
          <w:rFonts w:asciiTheme="minorHAnsi" w:hAnsiTheme="minorHAnsi"/>
        </w:rPr>
      </w:pPr>
      <w:r w:rsidRPr="00AC64C9">
        <w:rPr>
          <w:rFonts w:asciiTheme="minorHAnsi" w:hAnsiTheme="minorHAnsi"/>
        </w:rPr>
        <w:t>Déterminer en quoi le microscope utilisé est adapté à l’observation d’échantillons isolants et/ou fragiles. Quelles sont les limitations de cet équipement par rapport à ce type de matériaux ?</w:t>
      </w:r>
    </w:p>
    <w:p w:rsidR="001D1A9E" w:rsidRPr="00AC64C9" w:rsidRDefault="001D1A9E" w:rsidP="001D1A9E">
      <w:pPr>
        <w:numPr>
          <w:ilvl w:val="0"/>
          <w:numId w:val="33"/>
        </w:numPr>
        <w:rPr>
          <w:rFonts w:asciiTheme="minorHAnsi" w:hAnsiTheme="minorHAnsi"/>
        </w:rPr>
      </w:pPr>
      <w:r w:rsidRPr="00AC64C9">
        <w:rPr>
          <w:rFonts w:asciiTheme="minorHAnsi" w:hAnsiTheme="minorHAnsi"/>
        </w:rPr>
        <w:t>On peut réaliser d’abord une observation dans des conditions adaptées aux matériaux conducteurs pour visualiser l’effet de charge. Choisir ensuite un mode de fonctionnement plus approprié.</w:t>
      </w:r>
    </w:p>
    <w:p w:rsidR="001D1A9E" w:rsidRPr="00AC64C9" w:rsidRDefault="001D1A9E" w:rsidP="001D1A9E">
      <w:pPr>
        <w:numPr>
          <w:ilvl w:val="0"/>
          <w:numId w:val="33"/>
        </w:numPr>
        <w:rPr>
          <w:rFonts w:asciiTheme="minorHAnsi" w:hAnsiTheme="minorHAnsi"/>
          <w:b/>
          <w:i/>
        </w:rPr>
      </w:pPr>
      <w:r w:rsidRPr="00AC64C9">
        <w:rPr>
          <w:rFonts w:asciiTheme="minorHAnsi" w:hAnsiTheme="minorHAnsi"/>
          <w:b/>
          <w:i/>
        </w:rPr>
        <w:t>Pour chacun des échantillons décrits ci-dessous, et sur base des informations données, déterminer le mode de fonctionnement et le choix des paramètres adéquats (notamment pour limiter la détérioration de la surface observée).</w:t>
      </w:r>
    </w:p>
    <w:p w:rsidR="001D1A9E" w:rsidRPr="00AC64C9" w:rsidRDefault="001D1A9E" w:rsidP="001D1A9E">
      <w:pPr>
        <w:pStyle w:val="Titre1"/>
        <w:tabs>
          <w:tab w:val="clear" w:pos="360"/>
        </w:tabs>
        <w:ind w:left="454" w:hanging="454"/>
        <w:rPr>
          <w:rFonts w:asciiTheme="minorHAnsi" w:hAnsiTheme="minorHAnsi"/>
        </w:rPr>
      </w:pPr>
      <w:r w:rsidRPr="00AC64C9">
        <w:rPr>
          <w:rFonts w:asciiTheme="minorHAnsi" w:hAnsiTheme="minorHAnsi"/>
        </w:rPr>
        <w:t>Observation d’un polymère chargé</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Description de l’échantillon</w:t>
      </w:r>
    </w:p>
    <w:p w:rsidR="001D1A9E" w:rsidRPr="00AC64C9" w:rsidRDefault="001D1A9E" w:rsidP="001D1A9E">
      <w:pPr>
        <w:rPr>
          <w:rFonts w:asciiTheme="minorHAnsi" w:hAnsiTheme="minorHAnsi"/>
        </w:rPr>
      </w:pPr>
      <w:r w:rsidRPr="00AC64C9">
        <w:rPr>
          <w:rFonts w:asciiTheme="minorHAnsi" w:hAnsiTheme="minorHAnsi"/>
        </w:rPr>
        <w:t xml:space="preserve">L’échantillon est constitué d’un matériau polymère (éventuellement plusieurs phases) contenant des charges minérales. Une coupe a été préparée avant l’observation. On cherche à déterminer la morphologie et la répartition des charges au </w:t>
      </w:r>
      <w:proofErr w:type="spellStart"/>
      <w:r w:rsidRPr="00AC64C9">
        <w:rPr>
          <w:rFonts w:asciiTheme="minorHAnsi" w:hAnsiTheme="minorHAnsi"/>
        </w:rPr>
        <w:t>coeur</w:t>
      </w:r>
      <w:proofErr w:type="spellEnd"/>
      <w:r w:rsidRPr="00AC64C9">
        <w:rPr>
          <w:rFonts w:asciiTheme="minorHAnsi" w:hAnsiTheme="minorHAnsi"/>
        </w:rPr>
        <w:t xml:space="preserve"> du matériau. Leur nature pourra éventuellement être déterminée par analyse EDS si disponible. Le cas échéant, on montrera les spécificités de la microanalyse sur ce type de matériaux (quelles sont-elles a priori ?). Une observation en surface, sans préparation particulière, peut aussi être réalisée.</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Observation et commentaires</w:t>
      </w:r>
    </w:p>
    <w:p w:rsidR="001D1A9E" w:rsidRPr="00AC64C9" w:rsidRDefault="001D1A9E" w:rsidP="001D1A9E">
      <w:pPr>
        <w:rPr>
          <w:rFonts w:asciiTheme="minorHAnsi" w:hAnsiTheme="minorHAnsi"/>
        </w:rPr>
      </w:pPr>
      <w:r w:rsidRPr="00AC64C9">
        <w:rPr>
          <w:rFonts w:asciiTheme="minorHAnsi" w:hAnsiTheme="minorHAnsi"/>
        </w:rPr>
        <w:t>Cet échantillon permet de mettre en évidence l’influence de la tension d’accélération du faisceau primaire. On fera varier celle-ci durant l’observation, réalisée en électrons rétrodiffusés. Ceux-ci permettent d’évaluer la dispersion des charges. Quelles conclusions peut-on tirer de cette observation ? Si le MEB est équipé d’un EDS, visualiser et discuter les artéfacts possibles (notamment liés au volume d’interaction et à la pression dans un MEB à pression contrôlée).</w:t>
      </w:r>
    </w:p>
    <w:p w:rsidR="001D1A9E" w:rsidRPr="00AC64C9" w:rsidRDefault="001D1A9E" w:rsidP="001D1A9E">
      <w:pPr>
        <w:rPr>
          <w:rFonts w:asciiTheme="minorHAnsi" w:hAnsiTheme="minorHAnsi"/>
        </w:rPr>
      </w:pPr>
      <w:r w:rsidRPr="00AC64C9">
        <w:rPr>
          <w:rFonts w:asciiTheme="minorHAnsi" w:hAnsiTheme="minorHAnsi"/>
        </w:rPr>
        <w:br w:type="page"/>
      </w:r>
    </w:p>
    <w:p w:rsidR="001D1A9E" w:rsidRPr="00AC64C9" w:rsidRDefault="001D1A9E" w:rsidP="001D1A9E">
      <w:pPr>
        <w:pStyle w:val="Titre1"/>
        <w:tabs>
          <w:tab w:val="clear" w:pos="360"/>
        </w:tabs>
        <w:ind w:left="454" w:hanging="454"/>
        <w:rPr>
          <w:rFonts w:asciiTheme="minorHAnsi" w:hAnsiTheme="minorHAnsi"/>
        </w:rPr>
      </w:pPr>
      <w:r w:rsidRPr="00AC64C9">
        <w:rPr>
          <w:rFonts w:asciiTheme="minorHAnsi" w:hAnsiTheme="minorHAnsi"/>
        </w:rPr>
        <w:lastRenderedPageBreak/>
        <w:t>Observation d’un composite polymère-bois</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Description de l’échantillon</w:t>
      </w:r>
    </w:p>
    <w:p w:rsidR="001D1A9E" w:rsidRPr="00AC64C9" w:rsidRDefault="001D1A9E" w:rsidP="001D1A9E">
      <w:pPr>
        <w:rPr>
          <w:rFonts w:asciiTheme="minorHAnsi" w:hAnsiTheme="minorHAnsi"/>
        </w:rPr>
      </w:pPr>
    </w:p>
    <w:p w:rsidR="001D1A9E" w:rsidRPr="00AC64C9" w:rsidRDefault="001D1A9E" w:rsidP="001D1A9E">
      <w:pPr>
        <w:rPr>
          <w:rFonts w:asciiTheme="minorHAnsi" w:hAnsiTheme="minorHAnsi"/>
        </w:rPr>
      </w:pPr>
      <w:r w:rsidRPr="00AC64C9">
        <w:rPr>
          <w:rFonts w:asciiTheme="minorHAnsi" w:hAnsiTheme="minorHAnsi"/>
        </w:rPr>
        <w:t>La plaque de PVC contient des fibres de bois qui ont subi un broyage afin d’améliorer leur dispersion. Le mélange a été mis en œuvre par extrusion-moulage. L’observation portera sur un faciès de rupture.</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Observation et commentaires</w:t>
      </w:r>
    </w:p>
    <w:p w:rsidR="001D1A9E" w:rsidRPr="00AC64C9" w:rsidRDefault="001D1A9E" w:rsidP="001D1A9E">
      <w:pPr>
        <w:rPr>
          <w:rFonts w:asciiTheme="minorHAnsi" w:hAnsiTheme="minorHAnsi"/>
        </w:rPr>
      </w:pPr>
      <w:r w:rsidRPr="00AC64C9">
        <w:rPr>
          <w:rFonts w:asciiTheme="minorHAnsi" w:hAnsiTheme="minorHAnsi"/>
        </w:rPr>
        <w:t xml:space="preserve">On sélectionnera le détecteur adéquat, pour déterminer la morphologie et la dispersion des fibres. Quels types de contrastes fera-t-on apparaître ? Connaissant la composition des fibres et de la matrice, la détection des électrons rétrodiffusés aidera à l’observation de la dispersion (pourquoi ?). Règle générale : se baser sur une connaissance </w:t>
      </w:r>
      <w:r w:rsidRPr="00AC64C9">
        <w:rPr>
          <w:rFonts w:asciiTheme="minorHAnsi" w:hAnsiTheme="minorHAnsi"/>
          <w:i/>
        </w:rPr>
        <w:t>a priori</w:t>
      </w:r>
      <w:r w:rsidRPr="00AC64C9">
        <w:rPr>
          <w:rFonts w:asciiTheme="minorHAnsi" w:hAnsiTheme="minorHAnsi"/>
        </w:rPr>
        <w:t xml:space="preserve"> des matériaux présents.</w:t>
      </w:r>
    </w:p>
    <w:p w:rsidR="001D1A9E" w:rsidRPr="00AC64C9" w:rsidRDefault="001D1A9E" w:rsidP="001D1A9E">
      <w:pPr>
        <w:pStyle w:val="Titre1"/>
        <w:tabs>
          <w:tab w:val="clear" w:pos="360"/>
        </w:tabs>
        <w:ind w:left="454" w:hanging="454"/>
        <w:rPr>
          <w:rFonts w:asciiTheme="minorHAnsi" w:hAnsiTheme="minorHAnsi"/>
        </w:rPr>
      </w:pPr>
      <w:r w:rsidRPr="00AC64C9">
        <w:rPr>
          <w:rFonts w:asciiTheme="minorHAnsi" w:hAnsiTheme="minorHAnsi"/>
        </w:rPr>
        <w:t>Observation d’un papier revêtu d’une couche de polymère</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Description de l’échantillon</w:t>
      </w:r>
    </w:p>
    <w:p w:rsidR="001D1A9E" w:rsidRPr="00AC64C9" w:rsidRDefault="001D1A9E" w:rsidP="001D1A9E">
      <w:pPr>
        <w:rPr>
          <w:rFonts w:asciiTheme="minorHAnsi" w:hAnsiTheme="minorHAnsi"/>
        </w:rPr>
      </w:pPr>
      <w:r w:rsidRPr="00AC64C9">
        <w:rPr>
          <w:rFonts w:asciiTheme="minorHAnsi" w:hAnsiTheme="minorHAnsi"/>
        </w:rPr>
        <w:t xml:space="preserve">L’échantillon est une feuille de papier enduite d’une couche de silicone, utilisée comme support d’une feuille adhésive. La qualité de l’enduction (épaisseur, uniformité, adhérence) conditionne les performances du produit. Il s’agit d’un papier couché (présence d’argiles) : discuter de l’impact sur l’observation et sur la diffusion </w:t>
      </w:r>
      <w:proofErr w:type="gramStart"/>
      <w:r w:rsidRPr="00AC64C9">
        <w:rPr>
          <w:rFonts w:asciiTheme="minorHAnsi" w:hAnsiTheme="minorHAnsi"/>
        </w:rPr>
        <w:t>du</w:t>
      </w:r>
      <w:proofErr w:type="gramEnd"/>
      <w:r w:rsidRPr="00AC64C9">
        <w:rPr>
          <w:rFonts w:asciiTheme="minorHAnsi" w:hAnsiTheme="minorHAnsi"/>
        </w:rPr>
        <w:t xml:space="preserve"> silicone dans le papier. L’échantillon a été préparé par enrobage dans une résine époxy, et polissage par microtomie. </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Observation et commentaires</w:t>
      </w:r>
    </w:p>
    <w:p w:rsidR="001D1A9E" w:rsidRPr="00AC64C9" w:rsidRDefault="001D1A9E" w:rsidP="001D1A9E">
      <w:pPr>
        <w:rPr>
          <w:rFonts w:asciiTheme="minorHAnsi" w:hAnsiTheme="minorHAnsi"/>
        </w:rPr>
      </w:pPr>
    </w:p>
    <w:p w:rsidR="001D1A9E" w:rsidRPr="00AC64C9" w:rsidRDefault="001D1A9E" w:rsidP="001D1A9E">
      <w:pPr>
        <w:rPr>
          <w:rFonts w:asciiTheme="minorHAnsi" w:hAnsiTheme="minorHAnsi"/>
        </w:rPr>
      </w:pPr>
      <w:r w:rsidRPr="00AC64C9">
        <w:rPr>
          <w:rFonts w:asciiTheme="minorHAnsi" w:hAnsiTheme="minorHAnsi"/>
        </w:rPr>
        <w:t>L’observation portera sur une coupe de l’échantillon. On sélectionnera le type de détection afin de visualiser le revêtement, et d’évaluer la qualité de celui-ci (voir paragraphe précédent). Comment peut-on qualifier le revêtement observé ici ?</w:t>
      </w:r>
    </w:p>
    <w:p w:rsidR="001D1A9E" w:rsidRPr="00AC64C9" w:rsidRDefault="001D1A9E" w:rsidP="001D1A9E">
      <w:pPr>
        <w:rPr>
          <w:rFonts w:asciiTheme="minorHAnsi" w:hAnsiTheme="minorHAnsi"/>
        </w:rPr>
      </w:pPr>
    </w:p>
    <w:p w:rsidR="001D1A9E" w:rsidRPr="00AC64C9" w:rsidRDefault="001D1A9E" w:rsidP="001D1A9E">
      <w:pPr>
        <w:rPr>
          <w:rFonts w:asciiTheme="minorHAnsi" w:hAnsiTheme="minorHAnsi"/>
        </w:rPr>
      </w:pPr>
      <w:r w:rsidRPr="00AC64C9">
        <w:rPr>
          <w:rFonts w:asciiTheme="minorHAnsi" w:hAnsiTheme="minorHAnsi"/>
        </w:rPr>
        <w:t xml:space="preserve"> L’observation peut être complétée par une analyse EDS (en ligne ou cartographie) si elle est disponible. Quels paramètres convient-il d’optimiser alors pour obtenir la meilleure résolution spatiale ?</w:t>
      </w:r>
    </w:p>
    <w:p w:rsidR="001D1A9E" w:rsidRPr="00AC64C9" w:rsidRDefault="001D1A9E" w:rsidP="001D1A9E">
      <w:pPr>
        <w:pStyle w:val="Titre1"/>
        <w:tabs>
          <w:tab w:val="clear" w:pos="360"/>
        </w:tabs>
        <w:ind w:left="454" w:hanging="454"/>
        <w:rPr>
          <w:rFonts w:asciiTheme="minorHAnsi" w:hAnsiTheme="minorHAnsi"/>
        </w:rPr>
      </w:pPr>
      <w:r w:rsidRPr="00AC64C9">
        <w:rPr>
          <w:rFonts w:asciiTheme="minorHAnsi" w:hAnsiTheme="minorHAnsi"/>
        </w:rPr>
        <w:t>Observation d’un bouchon synthétique</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Description de l’échantillon</w:t>
      </w:r>
    </w:p>
    <w:p w:rsidR="001D1A9E" w:rsidRPr="00AC64C9" w:rsidRDefault="001D1A9E" w:rsidP="001D1A9E">
      <w:pPr>
        <w:rPr>
          <w:rFonts w:asciiTheme="minorHAnsi" w:hAnsiTheme="minorHAnsi"/>
        </w:rPr>
      </w:pPr>
    </w:p>
    <w:p w:rsidR="001D1A9E" w:rsidRPr="00AC64C9" w:rsidRDefault="001D1A9E" w:rsidP="001D1A9E">
      <w:pPr>
        <w:rPr>
          <w:rFonts w:asciiTheme="minorHAnsi" w:hAnsiTheme="minorHAnsi"/>
        </w:rPr>
      </w:pPr>
      <w:r w:rsidRPr="00AC64C9">
        <w:rPr>
          <w:rFonts w:asciiTheme="minorHAnsi" w:hAnsiTheme="minorHAnsi"/>
        </w:rPr>
        <w:t>L’échantillon est un bouchon en polymère utilisé lors de la mise en bouteille du vin. Il présente une structure alvéolaire afin de lui garantir une certaine élasticité, mais doit garder une porosité plutôt fermée pour maintenir l’étanchéité. On y trouvera aussi probablement des charges et pigments, et éventuellement des résidus d’un agent porophore (à vérifier lors de l’observation).</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lastRenderedPageBreak/>
        <w:t>Observation et commentaires</w:t>
      </w:r>
    </w:p>
    <w:p w:rsidR="001D1A9E" w:rsidRPr="00AC64C9" w:rsidRDefault="001D1A9E" w:rsidP="001D1A9E">
      <w:pPr>
        <w:rPr>
          <w:rFonts w:asciiTheme="minorHAnsi" w:hAnsiTheme="minorHAnsi"/>
        </w:rPr>
      </w:pPr>
      <w:r w:rsidRPr="00AC64C9">
        <w:rPr>
          <w:rFonts w:asciiTheme="minorHAnsi" w:hAnsiTheme="minorHAnsi"/>
        </w:rPr>
        <w:t>L’observation portera sur une coupe. Après avoir sélectionné le mode de fonctionnement et les paramètres adéquats, on mettra en évidence la porosité. Il faudra s’assurer également de l’homogénéité de l’échantillon et de la représentativité de l’observation (grandissement ?).</w:t>
      </w:r>
    </w:p>
    <w:p w:rsidR="001D1A9E" w:rsidRPr="00AC64C9" w:rsidRDefault="001D1A9E" w:rsidP="001D1A9E">
      <w:pPr>
        <w:rPr>
          <w:rFonts w:asciiTheme="minorHAnsi" w:hAnsiTheme="minorHAnsi"/>
        </w:rPr>
      </w:pPr>
    </w:p>
    <w:p w:rsidR="001D1A9E" w:rsidRPr="00AC64C9" w:rsidRDefault="001D1A9E" w:rsidP="001D1A9E">
      <w:pPr>
        <w:pStyle w:val="Titre1"/>
        <w:tabs>
          <w:tab w:val="clear" w:pos="360"/>
        </w:tabs>
        <w:ind w:left="454" w:hanging="454"/>
        <w:rPr>
          <w:rFonts w:asciiTheme="minorHAnsi" w:hAnsiTheme="minorHAnsi"/>
        </w:rPr>
      </w:pPr>
      <w:r w:rsidRPr="00AC64C9">
        <w:rPr>
          <w:rFonts w:asciiTheme="minorHAnsi" w:hAnsiTheme="minorHAnsi"/>
        </w:rPr>
        <w:t>Observation d’une couche d’oxyde sur verre</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Description de l’échantillon</w:t>
      </w:r>
    </w:p>
    <w:p w:rsidR="001D1A9E" w:rsidRPr="00AC64C9" w:rsidRDefault="001D1A9E" w:rsidP="001D1A9E">
      <w:pPr>
        <w:rPr>
          <w:rFonts w:asciiTheme="minorHAnsi" w:hAnsiTheme="minorHAnsi"/>
        </w:rPr>
      </w:pPr>
      <w:r w:rsidRPr="00AC64C9">
        <w:rPr>
          <w:rFonts w:asciiTheme="minorHAnsi" w:hAnsiTheme="minorHAnsi"/>
        </w:rPr>
        <w:t>Cet échantillon permettra d’observer un autre type de matériau isolant. Il se présente sous la forme d’une coupe, réalisée afin de déterminer l’épaisseur et la morphologie interne d’un revêtement d’oxyde d’étain sur verre. D’après les conditions de dépôt, cette couche devrait avoir une épaisseur de l’ordre de 350 nm.</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Observation et commentaires</w:t>
      </w:r>
    </w:p>
    <w:p w:rsidR="001D1A9E" w:rsidRPr="00AC64C9" w:rsidRDefault="001D1A9E" w:rsidP="001D1A9E">
      <w:pPr>
        <w:rPr>
          <w:rFonts w:asciiTheme="minorHAnsi" w:hAnsiTheme="minorHAnsi"/>
        </w:rPr>
      </w:pPr>
      <w:r w:rsidRPr="00AC64C9">
        <w:rPr>
          <w:rFonts w:asciiTheme="minorHAnsi" w:hAnsiTheme="minorHAnsi"/>
        </w:rPr>
        <w:t>La coupe a été métallisée afin de réduire l’effet de charge et de permettre le travail à tension élevée. Une observation préalable sans métallisation montre en effet une accentuation du contraste qui masque la structure présente dans la couche d’oxyde. En fonction de cette préparation, sélectionner les paramètres opératoires adéquats.</w:t>
      </w:r>
    </w:p>
    <w:p w:rsidR="001D1A9E" w:rsidRPr="00AC64C9" w:rsidRDefault="001D1A9E" w:rsidP="001D1A9E">
      <w:pPr>
        <w:pStyle w:val="Titre1"/>
        <w:tabs>
          <w:tab w:val="clear" w:pos="360"/>
        </w:tabs>
        <w:ind w:left="454" w:hanging="454"/>
        <w:rPr>
          <w:rFonts w:asciiTheme="minorHAnsi" w:hAnsiTheme="minorHAnsi"/>
        </w:rPr>
      </w:pPr>
      <w:r w:rsidRPr="00AC64C9">
        <w:rPr>
          <w:rFonts w:asciiTheme="minorHAnsi" w:hAnsiTheme="minorHAnsi"/>
        </w:rPr>
        <w:t>Observation d’une éponge cellulosique</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Description de l’échantillon</w:t>
      </w:r>
    </w:p>
    <w:p w:rsidR="001D1A9E" w:rsidRPr="00AC64C9" w:rsidRDefault="001D1A9E" w:rsidP="001D1A9E">
      <w:pPr>
        <w:rPr>
          <w:rFonts w:asciiTheme="minorHAnsi" w:hAnsiTheme="minorHAnsi"/>
        </w:rPr>
      </w:pPr>
    </w:p>
    <w:p w:rsidR="001D1A9E" w:rsidRPr="00AC64C9" w:rsidRDefault="001D1A9E" w:rsidP="001D1A9E">
      <w:pPr>
        <w:rPr>
          <w:rFonts w:asciiTheme="minorHAnsi" w:hAnsiTheme="minorHAnsi"/>
        </w:rPr>
      </w:pPr>
      <w:r w:rsidRPr="00AC64C9">
        <w:rPr>
          <w:rFonts w:asciiTheme="minorHAnsi" w:hAnsiTheme="minorHAnsi"/>
        </w:rPr>
        <w:t>L’éponge est constituée de cellulose (contrairement aux éponges synthétiques), et présente différents niveaux de porosité, qui peuvent être mis en évidence par MEB. Cette structure rend l’échantillon extrêmement fragile face au faisceau primaire. D’autre part, le pompage de la chambre a généralement pour effet de détériorer la porosité. Bien entendu, ce matériau est isolant au point de vue électrique. Idéalement, cet échantillon devrait être observé dans un MEB à chambre environnementale (ambiance humide), mais un MEB à pression contrôlée devrait déjà permettre de visualiser ses particularités et les limitations de la technique. On a constaté également qu’une diminution et une stabilisation préalables du taux d’humidité de l’échantillon facilitent fortement l’observation.</w:t>
      </w:r>
    </w:p>
    <w:p w:rsidR="001D1A9E" w:rsidRPr="00AC64C9" w:rsidRDefault="001D1A9E" w:rsidP="001D1A9E">
      <w:pPr>
        <w:rPr>
          <w:rFonts w:asciiTheme="minorHAnsi" w:hAnsiTheme="minorHAnsi"/>
        </w:rPr>
      </w:pPr>
    </w:p>
    <w:p w:rsidR="001D1A9E" w:rsidRPr="00AC64C9" w:rsidRDefault="001D1A9E" w:rsidP="001D1A9E">
      <w:pPr>
        <w:pStyle w:val="Titre2"/>
        <w:tabs>
          <w:tab w:val="clear" w:pos="792"/>
        </w:tabs>
        <w:rPr>
          <w:rFonts w:asciiTheme="minorHAnsi" w:hAnsiTheme="minorHAnsi"/>
        </w:rPr>
      </w:pPr>
      <w:r w:rsidRPr="00AC64C9">
        <w:rPr>
          <w:rFonts w:asciiTheme="minorHAnsi" w:hAnsiTheme="minorHAnsi"/>
        </w:rPr>
        <w:t>Observation et commentaires</w:t>
      </w:r>
    </w:p>
    <w:p w:rsidR="001D1A9E" w:rsidRPr="00AC64C9" w:rsidRDefault="001D1A9E" w:rsidP="001D1A9E">
      <w:pPr>
        <w:rPr>
          <w:rFonts w:asciiTheme="minorHAnsi" w:hAnsiTheme="minorHAnsi"/>
        </w:rPr>
      </w:pPr>
    </w:p>
    <w:p w:rsidR="001D1A9E" w:rsidRPr="00AC64C9" w:rsidRDefault="001D1A9E" w:rsidP="001D1A9E">
      <w:pPr>
        <w:rPr>
          <w:rFonts w:asciiTheme="minorHAnsi" w:hAnsiTheme="minorHAnsi"/>
        </w:rPr>
      </w:pPr>
      <w:r w:rsidRPr="00AC64C9">
        <w:rPr>
          <w:rFonts w:asciiTheme="minorHAnsi" w:hAnsiTheme="minorHAnsi"/>
        </w:rPr>
        <w:t xml:space="preserve">En fonction des indications du paragraphe précédent et du type de MEB disponible, on optimisera les conditions d’observation afin de visualiser la morphologie interne de l’éponge. On sera particulièrement vigilant vis-à-vis des paramètres suivants : pression, tension d’accélération, détecteur, taille de sonde. Quels sont les niveaux de porosité visibles ? </w:t>
      </w:r>
    </w:p>
    <w:p w:rsidR="001D1A9E" w:rsidRPr="00AC64C9" w:rsidRDefault="001D1A9E" w:rsidP="001D1A9E">
      <w:pPr>
        <w:rPr>
          <w:rFonts w:asciiTheme="minorHAnsi" w:hAnsiTheme="minorHAnsi"/>
        </w:rPr>
      </w:pPr>
    </w:p>
    <w:p w:rsidR="001D1A9E" w:rsidRPr="00AC64C9" w:rsidRDefault="001D1A9E" w:rsidP="00CD204D">
      <w:pPr>
        <w:pStyle w:val="Rsum"/>
        <w:jc w:val="both"/>
        <w:rPr>
          <w:rFonts w:asciiTheme="minorHAnsi" w:hAnsiTheme="minorHAnsi"/>
          <w:b/>
          <w:bCs/>
          <w:u w:val="single"/>
        </w:rPr>
      </w:pPr>
    </w:p>
    <w:bookmarkEnd w:id="0"/>
    <w:p w:rsidR="008F0DA9" w:rsidRPr="008E33B5" w:rsidRDefault="008F0DA9" w:rsidP="001D1A9E">
      <w:pPr>
        <w:spacing w:line="288" w:lineRule="auto"/>
        <w:ind w:firstLine="0"/>
        <w:rPr>
          <w:rFonts w:asciiTheme="minorHAnsi" w:hAnsiTheme="minorHAnsi"/>
        </w:rPr>
      </w:pPr>
    </w:p>
    <w:sectPr w:rsidR="008F0DA9" w:rsidRPr="008E33B5" w:rsidSect="00A0193D">
      <w:headerReference w:type="even" r:id="rId8"/>
      <w:headerReference w:type="default" r:id="rId9"/>
      <w:footerReference w:type="even" r:id="rId10"/>
      <w:footerReference w:type="default" r:id="rId11"/>
      <w:headerReference w:type="first" r:id="rId12"/>
      <w:footnotePr>
        <w:pos w:val="beneathText"/>
      </w:footnotePr>
      <w:endnotePr>
        <w:numFmt w:val="decimal"/>
      </w:endnotePr>
      <w:pgSz w:w="11907" w:h="16840" w:code="9"/>
      <w:pgMar w:top="1418" w:right="1134" w:bottom="851" w:left="1134" w:header="454"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8CE" w:rsidRDefault="00E068CE"/>
    <w:p w:rsidR="00E068CE" w:rsidRDefault="00E068CE"/>
  </w:endnote>
  <w:endnote w:type="continuationSeparator" w:id="0">
    <w:p w:rsidR="00E068CE" w:rsidRDefault="00E068CE"/>
    <w:p w:rsidR="00E068CE" w:rsidRDefault="00E068CE"/>
  </w:endnote>
  <w:endnote w:type="continuationNotice" w:id="1">
    <w:p w:rsidR="00E068CE" w:rsidRDefault="00E068CE"/>
    <w:p w:rsidR="00E068CE" w:rsidRDefault="00E06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391792"/>
      <w:docPartObj>
        <w:docPartGallery w:val="Page Numbers (Bottom of Page)"/>
        <w:docPartUnique/>
      </w:docPartObj>
    </w:sdtPr>
    <w:sdtEndPr>
      <w:rPr>
        <w:rFonts w:asciiTheme="minorHAnsi" w:hAnsiTheme="minorHAnsi"/>
        <w:sz w:val="20"/>
      </w:rPr>
    </w:sdtEndPr>
    <w:sdtContent>
      <w:p w:rsidR="00A0193D" w:rsidRPr="00A0193D" w:rsidRDefault="00A0193D">
        <w:pPr>
          <w:pStyle w:val="Pieddepage"/>
          <w:jc w:val="center"/>
          <w:rPr>
            <w:rFonts w:asciiTheme="minorHAnsi" w:hAnsiTheme="minorHAnsi"/>
            <w:sz w:val="20"/>
          </w:rPr>
        </w:pPr>
        <w:r w:rsidRPr="00A0193D">
          <w:rPr>
            <w:rFonts w:asciiTheme="minorHAnsi" w:hAnsiTheme="minorHAnsi"/>
            <w:sz w:val="20"/>
          </w:rPr>
          <w:fldChar w:fldCharType="begin"/>
        </w:r>
        <w:r w:rsidRPr="00A0193D">
          <w:rPr>
            <w:rFonts w:asciiTheme="minorHAnsi" w:hAnsiTheme="minorHAnsi"/>
            <w:sz w:val="20"/>
          </w:rPr>
          <w:instrText>PAGE   \* MERGEFORMAT</w:instrText>
        </w:r>
        <w:r w:rsidRPr="00A0193D">
          <w:rPr>
            <w:rFonts w:asciiTheme="minorHAnsi" w:hAnsiTheme="minorHAnsi"/>
            <w:sz w:val="20"/>
          </w:rPr>
          <w:fldChar w:fldCharType="separate"/>
        </w:r>
        <w:r w:rsidR="000446A6">
          <w:rPr>
            <w:rFonts w:asciiTheme="minorHAnsi" w:hAnsiTheme="minorHAnsi"/>
            <w:noProof/>
            <w:sz w:val="20"/>
          </w:rPr>
          <w:t>2</w:t>
        </w:r>
        <w:r w:rsidRPr="00A0193D">
          <w:rPr>
            <w:rFonts w:asciiTheme="minorHAnsi" w:hAnsiTheme="minorHAnsi"/>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331562"/>
      <w:docPartObj>
        <w:docPartGallery w:val="Page Numbers (Bottom of Page)"/>
        <w:docPartUnique/>
      </w:docPartObj>
    </w:sdtPr>
    <w:sdtEndPr/>
    <w:sdtContent>
      <w:p w:rsidR="00A0193D" w:rsidRDefault="00A0193D">
        <w:pPr>
          <w:pStyle w:val="Pieddepage"/>
          <w:jc w:val="center"/>
        </w:pPr>
        <w:r w:rsidRPr="00A0193D">
          <w:rPr>
            <w:rFonts w:asciiTheme="minorHAnsi" w:hAnsiTheme="minorHAnsi"/>
            <w:sz w:val="20"/>
          </w:rPr>
          <w:fldChar w:fldCharType="begin"/>
        </w:r>
        <w:r w:rsidRPr="00A0193D">
          <w:rPr>
            <w:rFonts w:asciiTheme="minorHAnsi" w:hAnsiTheme="minorHAnsi"/>
            <w:sz w:val="20"/>
          </w:rPr>
          <w:instrText>PAGE   \* MERGEFORMAT</w:instrText>
        </w:r>
        <w:r w:rsidRPr="00A0193D">
          <w:rPr>
            <w:rFonts w:asciiTheme="minorHAnsi" w:hAnsiTheme="minorHAnsi"/>
            <w:sz w:val="20"/>
          </w:rPr>
          <w:fldChar w:fldCharType="separate"/>
        </w:r>
        <w:r w:rsidR="000446A6">
          <w:rPr>
            <w:rFonts w:asciiTheme="minorHAnsi" w:hAnsiTheme="minorHAnsi"/>
            <w:noProof/>
            <w:sz w:val="20"/>
          </w:rPr>
          <w:t>5</w:t>
        </w:r>
        <w:r w:rsidRPr="00A0193D">
          <w:rPr>
            <w:rFonts w:asciiTheme="minorHAnsi" w:hAnsiTheme="minorHAns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8CE" w:rsidRDefault="00E068CE">
      <w:r>
        <w:separator/>
      </w:r>
    </w:p>
  </w:footnote>
  <w:footnote w:type="continuationSeparator" w:id="0">
    <w:p w:rsidR="00E068CE" w:rsidRDefault="00E06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35" w:rsidRPr="008E33B5" w:rsidRDefault="00494B35" w:rsidP="00465626">
    <w:pPr>
      <w:pStyle w:val="Auteurs"/>
      <w:spacing w:before="240" w:after="0"/>
      <w:ind w:right="357" w:firstLine="357"/>
      <w:rPr>
        <w:rFonts w:asciiTheme="minorHAnsi" w:hAnsiTheme="minorHAnsi"/>
        <w:b w:val="0"/>
        <w:i/>
      </w:rPr>
    </w:pPr>
    <w:r w:rsidRPr="008E33B5">
      <w:rPr>
        <w:rFonts w:asciiTheme="minorHAnsi" w:hAnsiTheme="minorHAnsi"/>
        <w:b w:val="0"/>
        <w:i/>
      </w:rPr>
      <w:t xml:space="preserve">GN-MEBA – </w:t>
    </w:r>
    <w:r w:rsidR="005F3E1F" w:rsidRPr="008E33B5">
      <w:rPr>
        <w:rFonts w:asciiTheme="minorHAnsi" w:hAnsiTheme="minorHAnsi"/>
        <w:b w:val="0"/>
        <w:i/>
      </w:rPr>
      <w:t xml:space="preserve">Bordeaux, </w:t>
    </w:r>
    <w:r w:rsidRPr="008E33B5">
      <w:rPr>
        <w:rFonts w:asciiTheme="minorHAnsi" w:hAnsiTheme="minorHAnsi"/>
        <w:b w:val="0"/>
        <w:i/>
      </w:rPr>
      <w:t>Ecole d’été 201</w:t>
    </w:r>
    <w:r w:rsidR="005F3E1F" w:rsidRPr="008E33B5">
      <w:rPr>
        <w:rFonts w:asciiTheme="minorHAnsi" w:hAnsiTheme="minorHAnsi"/>
        <w:b w:val="0"/>
        <w:i/>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B35" w:rsidRPr="008E33B5" w:rsidRDefault="00492837" w:rsidP="001358A5">
    <w:pPr>
      <w:pStyle w:val="En-tte-auteurs"/>
      <w:spacing w:before="240" w:after="0"/>
      <w:rPr>
        <w:rFonts w:asciiTheme="minorHAnsi" w:hAnsiTheme="minorHAnsi"/>
        <w:sz w:val="18"/>
      </w:rPr>
    </w:pPr>
    <w:r w:rsidRPr="00492837">
      <w:rPr>
        <w:rFonts w:asciiTheme="minorHAnsi" w:hAnsiTheme="minorHAnsi"/>
        <w:sz w:val="24"/>
      </w:rPr>
      <w:t>TDC-07 : Echantillons fragiles et isolants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E1F" w:rsidRDefault="005F3E1F" w:rsidP="00A0193D">
    <w:pPr>
      <w:tabs>
        <w:tab w:val="decimal" w:pos="9639"/>
      </w:tabs>
      <w:ind w:firstLine="0"/>
      <w:rPr>
        <w:rFonts w:ascii="Calibri" w:eastAsia="Calibri" w:hAnsi="Calibri"/>
        <w:sz w:val="22"/>
        <w:szCs w:val="22"/>
        <w:lang w:eastAsia="en-US"/>
      </w:rPr>
    </w:pPr>
    <w:r>
      <w:rPr>
        <w:rFonts w:ascii="Calibri" w:eastAsia="Calibri" w:hAnsi="Calibri"/>
        <w:noProof/>
        <w:sz w:val="22"/>
        <w:szCs w:val="22"/>
        <w:lang w:val="fr-BE" w:eastAsia="fr-BE"/>
      </w:rPr>
      <w:drawing>
        <wp:inline distT="0" distB="0" distL="0" distR="0" wp14:anchorId="4EFFEB2F" wp14:editId="4AEE40B1">
          <wp:extent cx="3780000" cy="640983"/>
          <wp:effectExtent l="0" t="0" r="0" b="6985"/>
          <wp:docPr id="19" name="Image 19" descr="Description : sig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sigle2"/>
                  <pic:cNvPicPr>
                    <a:picLocks noChangeAspect="1" noChangeArrowheads="1"/>
                  </pic:cNvPicPr>
                </pic:nvPicPr>
                <pic:blipFill>
                  <a:blip r:embed="rId1" cstate="print">
                    <a:extLst>
                      <a:ext uri="{28A0092B-C50C-407E-A947-70E740481C1C}">
                        <a14:useLocalDpi xmlns:a14="http://schemas.microsoft.com/office/drawing/2010/main" val="0"/>
                      </a:ext>
                    </a:extLst>
                  </a:blip>
                  <a:srcRect b="-8136"/>
                  <a:stretch>
                    <a:fillRect/>
                  </a:stretch>
                </pic:blipFill>
                <pic:spPr bwMode="auto">
                  <a:xfrm>
                    <a:off x="0" y="0"/>
                    <a:ext cx="3780000" cy="640983"/>
                  </a:xfrm>
                  <a:prstGeom prst="rect">
                    <a:avLst/>
                  </a:prstGeom>
                  <a:noFill/>
                  <a:ln>
                    <a:noFill/>
                  </a:ln>
                </pic:spPr>
              </pic:pic>
            </a:graphicData>
          </a:graphic>
        </wp:inline>
      </w:drawing>
    </w:r>
    <w:r w:rsidR="001E0821">
      <w:rPr>
        <w:rFonts w:ascii="Calibri" w:eastAsia="Calibri" w:hAnsi="Calibri"/>
        <w:sz w:val="22"/>
        <w:szCs w:val="22"/>
        <w:lang w:eastAsia="en-US"/>
      </w:rPr>
      <w:tab/>
    </w:r>
    <w:r w:rsidR="001E0821">
      <w:rPr>
        <w:rFonts w:ascii="Calibri" w:eastAsia="Calibri" w:hAnsi="Calibri"/>
        <w:noProof/>
        <w:sz w:val="22"/>
        <w:szCs w:val="22"/>
        <w:lang w:val="fr-BE" w:eastAsia="fr-BE"/>
      </w:rPr>
      <w:drawing>
        <wp:inline distT="0" distB="0" distL="0" distR="0" wp14:anchorId="31349F3E" wp14:editId="4ACDD84D">
          <wp:extent cx="1066799" cy="53975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X_logo (2).png"/>
                  <pic:cNvPicPr/>
                </pic:nvPicPr>
                <pic:blipFill rotWithShape="1">
                  <a:blip r:embed="rId2">
                    <a:extLst>
                      <a:ext uri="{28A0092B-C50C-407E-A947-70E740481C1C}">
                        <a14:useLocalDpi xmlns:a14="http://schemas.microsoft.com/office/drawing/2010/main" val="0"/>
                      </a:ext>
                    </a:extLst>
                  </a:blip>
                  <a:srcRect b="-49624"/>
                  <a:stretch/>
                </pic:blipFill>
                <pic:spPr bwMode="auto">
                  <a:xfrm>
                    <a:off x="0" y="0"/>
                    <a:ext cx="1064635" cy="538655"/>
                  </a:xfrm>
                  <a:prstGeom prst="rect">
                    <a:avLst/>
                  </a:prstGeom>
                  <a:ln>
                    <a:noFill/>
                  </a:ln>
                  <a:extLst>
                    <a:ext uri="{53640926-AAD7-44D8-BBD7-CCE9431645EC}">
                      <a14:shadowObscured xmlns:a14="http://schemas.microsoft.com/office/drawing/2010/main"/>
                    </a:ext>
                  </a:extLst>
                </pic:spPr>
              </pic:pic>
            </a:graphicData>
          </a:graphic>
        </wp:inline>
      </w:drawing>
    </w:r>
  </w:p>
  <w:p w:rsidR="001E0821" w:rsidRDefault="001E0821" w:rsidP="001E0821">
    <w:pPr>
      <w:ind w:left="284" w:right="282" w:firstLine="0"/>
      <w:rPr>
        <w:rFonts w:ascii="Calibri" w:eastAsia="Calibri" w:hAnsi="Calibri"/>
        <w:noProof/>
        <w:sz w:val="22"/>
        <w:szCs w:val="22"/>
      </w:rPr>
    </w:pPr>
  </w:p>
  <w:p w:rsidR="005F3E1F" w:rsidRPr="00F26162" w:rsidRDefault="005F3E1F" w:rsidP="001E0821">
    <w:pPr>
      <w:keepNext/>
      <w:widowControl w:val="0"/>
      <w:pBdr>
        <w:top w:val="single" w:sz="4" w:space="1" w:color="auto"/>
        <w:left w:val="single" w:sz="4" w:space="4" w:color="auto"/>
        <w:bottom w:val="single" w:sz="4" w:space="1" w:color="auto"/>
        <w:right w:val="single" w:sz="4" w:space="4" w:color="auto"/>
      </w:pBdr>
      <w:tabs>
        <w:tab w:val="right" w:pos="9923"/>
      </w:tabs>
      <w:ind w:left="284" w:right="282" w:firstLine="0"/>
      <w:jc w:val="center"/>
      <w:rPr>
        <w:rFonts w:ascii="Calibri" w:hAnsi="Calibri"/>
        <w:b/>
        <w:caps/>
        <w:snapToGrid w:val="0"/>
        <w:color w:val="333399"/>
        <w:szCs w:val="24"/>
      </w:rPr>
    </w:pPr>
    <w:r w:rsidRPr="00F26162">
      <w:rPr>
        <w:rFonts w:ascii="Calibri" w:hAnsi="Calibri"/>
        <w:b/>
        <w:caps/>
        <w:snapToGrid w:val="0"/>
        <w:szCs w:val="24"/>
      </w:rPr>
      <w:t>E</w:t>
    </w:r>
    <w:r w:rsidRPr="00F26162">
      <w:rPr>
        <w:rFonts w:ascii="Calibri" w:hAnsi="Calibri"/>
        <w:b/>
        <w:snapToGrid w:val="0"/>
        <w:szCs w:val="24"/>
      </w:rPr>
      <w:t>cole d’été de microscopie électronique à balayage et de microanalyses</w:t>
    </w:r>
  </w:p>
  <w:p w:rsidR="005F3E1F" w:rsidRPr="00F26162" w:rsidRDefault="005F3E1F" w:rsidP="001E0821">
    <w:pPr>
      <w:keepNext/>
      <w:pBdr>
        <w:top w:val="single" w:sz="4" w:space="1" w:color="auto"/>
        <w:left w:val="single" w:sz="4" w:space="4" w:color="auto"/>
        <w:bottom w:val="single" w:sz="4" w:space="1" w:color="auto"/>
        <w:right w:val="single" w:sz="4" w:space="4" w:color="auto"/>
      </w:pBdr>
      <w:tabs>
        <w:tab w:val="right" w:pos="9923"/>
      </w:tabs>
      <w:ind w:left="284" w:right="282" w:firstLine="0"/>
      <w:jc w:val="center"/>
      <w:rPr>
        <w:rFonts w:ascii="Calibri" w:hAnsi="Calibri"/>
        <w:szCs w:val="24"/>
      </w:rPr>
    </w:pPr>
    <w:r>
      <w:rPr>
        <w:rFonts w:ascii="Calibri" w:hAnsi="Calibri"/>
        <w:b/>
        <w:bCs/>
        <w:szCs w:val="24"/>
      </w:rPr>
      <w:t>Bordeaux</w:t>
    </w:r>
    <w:r w:rsidRPr="00F26162">
      <w:rPr>
        <w:rFonts w:ascii="Calibri" w:hAnsi="Calibri"/>
        <w:b/>
        <w:bCs/>
        <w:szCs w:val="24"/>
      </w:rPr>
      <w:t xml:space="preserve">, </w:t>
    </w:r>
    <w:r>
      <w:rPr>
        <w:rFonts w:ascii="Calibri" w:hAnsi="Calibri"/>
        <w:b/>
        <w:bCs/>
        <w:szCs w:val="24"/>
      </w:rPr>
      <w:t>3</w:t>
    </w:r>
    <w:r w:rsidR="00E010CC">
      <w:rPr>
        <w:rFonts w:ascii="Calibri" w:hAnsi="Calibri"/>
        <w:b/>
        <w:bCs/>
        <w:szCs w:val="24"/>
      </w:rPr>
      <w:t>-</w:t>
    </w:r>
    <w:r>
      <w:rPr>
        <w:rFonts w:ascii="Calibri" w:hAnsi="Calibri"/>
        <w:b/>
        <w:bCs/>
        <w:szCs w:val="24"/>
      </w:rPr>
      <w:t>7</w:t>
    </w:r>
    <w:r w:rsidRPr="00F26162">
      <w:rPr>
        <w:rFonts w:ascii="Calibri" w:hAnsi="Calibri"/>
        <w:b/>
        <w:bCs/>
        <w:szCs w:val="24"/>
      </w:rPr>
      <w:t xml:space="preserve"> juillet 201</w:t>
    </w:r>
    <w:r>
      <w:rPr>
        <w:rFonts w:ascii="Calibri" w:hAnsi="Calibri"/>
        <w:b/>
        <w:bCs/>
        <w:szCs w:val="24"/>
      </w:rPr>
      <w:t>7</w:t>
    </w:r>
  </w:p>
  <w:p w:rsidR="005F3E1F" w:rsidRDefault="005F3E1F" w:rsidP="001E0821">
    <w:pPr>
      <w:pStyle w:val="En-tte"/>
      <w:tabs>
        <w:tab w:val="right" w:pos="9923"/>
      </w:tabs>
      <w:ind w:left="284" w:right="282" w:firstLine="0"/>
    </w:pPr>
  </w:p>
  <w:p w:rsidR="00465626" w:rsidRDefault="00465626" w:rsidP="001E0821">
    <w:pPr>
      <w:pStyle w:val="En-tte"/>
      <w:tabs>
        <w:tab w:val="right" w:pos="9923"/>
      </w:tabs>
      <w:ind w:left="284" w:right="282"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4DA55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1E54C92"/>
    <w:multiLevelType w:val="multilevel"/>
    <w:tmpl w:val="EBC0E59E"/>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276"/>
        </w:tabs>
        <w:ind w:left="1276" w:hanging="1276"/>
      </w:pPr>
    </w:lvl>
    <w:lvl w:ilvl="6">
      <w:start w:val="1"/>
      <w:numFmt w:val="decimal"/>
      <w:lvlText w:val="%1.%2.%3.%4.%5.%6.%7."/>
      <w:lvlJc w:val="left"/>
      <w:pPr>
        <w:tabs>
          <w:tab w:val="num" w:pos="1418"/>
        </w:tabs>
        <w:ind w:left="1418" w:hanging="1418"/>
      </w:pPr>
    </w:lvl>
    <w:lvl w:ilvl="7">
      <w:start w:val="1"/>
      <w:numFmt w:val="decimal"/>
      <w:lvlText w:val="%1.%2.%3.%4.%5.%6.%7.%8."/>
      <w:lvlJc w:val="left"/>
      <w:pPr>
        <w:tabs>
          <w:tab w:val="num" w:pos="1559"/>
        </w:tabs>
        <w:ind w:left="1559" w:hanging="1559"/>
      </w:pPr>
    </w:lvl>
    <w:lvl w:ilvl="8">
      <w:start w:val="1"/>
      <w:numFmt w:val="decimal"/>
      <w:lvlText w:val="%1.%2.%3.%4.%5.%6.%7.%8.%9."/>
      <w:lvlJc w:val="left"/>
      <w:pPr>
        <w:tabs>
          <w:tab w:val="num" w:pos="1644"/>
        </w:tabs>
        <w:ind w:left="1644" w:hanging="1644"/>
      </w:pPr>
    </w:lvl>
  </w:abstractNum>
  <w:abstractNum w:abstractNumId="2" w15:restartNumberingAfterBreak="0">
    <w:nsid w:val="048E761F"/>
    <w:multiLevelType w:val="singleLevel"/>
    <w:tmpl w:val="E60C0AC2"/>
    <w:lvl w:ilvl="0">
      <w:start w:val="1"/>
      <w:numFmt w:val="bullet"/>
      <w:lvlText w:val=""/>
      <w:lvlJc w:val="left"/>
      <w:pPr>
        <w:tabs>
          <w:tab w:val="num" w:pos="709"/>
        </w:tabs>
        <w:ind w:left="709" w:hanging="425"/>
      </w:pPr>
      <w:rPr>
        <w:rFonts w:ascii="Wingdings" w:hAnsi="Wingdings" w:hint="default"/>
      </w:rPr>
    </w:lvl>
  </w:abstractNum>
  <w:abstractNum w:abstractNumId="3" w15:restartNumberingAfterBreak="0">
    <w:nsid w:val="14EC55CC"/>
    <w:multiLevelType w:val="singleLevel"/>
    <w:tmpl w:val="AD0891CA"/>
    <w:lvl w:ilvl="0">
      <w:start w:val="1"/>
      <w:numFmt w:val="decimal"/>
      <w:pStyle w:val="RfrenceBibliographique"/>
      <w:lvlText w:val="[%1]"/>
      <w:lvlJc w:val="left"/>
      <w:pPr>
        <w:tabs>
          <w:tab w:val="num" w:pos="454"/>
        </w:tabs>
        <w:ind w:left="454" w:hanging="454"/>
      </w:pPr>
    </w:lvl>
  </w:abstractNum>
  <w:abstractNum w:abstractNumId="4" w15:restartNumberingAfterBreak="0">
    <w:nsid w:val="205B68E2"/>
    <w:multiLevelType w:val="multilevel"/>
    <w:tmpl w:val="CC406BD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BD968F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DCC2657"/>
    <w:multiLevelType w:val="hybridMultilevel"/>
    <w:tmpl w:val="F92EE3B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DDD238E"/>
    <w:multiLevelType w:val="hybridMultilevel"/>
    <w:tmpl w:val="B52E3B2E"/>
    <w:lvl w:ilvl="0" w:tplc="8C0C5288">
      <w:start w:val="10"/>
      <w:numFmt w:val="bullet"/>
      <w:lvlText w:val=""/>
      <w:lvlJc w:val="left"/>
      <w:pPr>
        <w:ind w:left="2494" w:hanging="360"/>
      </w:pPr>
      <w:rPr>
        <w:rFonts w:ascii="Symbol" w:eastAsia="Times New Roman" w:hAnsi="Symbol" w:cs="Times New Roman" w:hint="default"/>
      </w:rPr>
    </w:lvl>
    <w:lvl w:ilvl="1" w:tplc="040C0003" w:tentative="1">
      <w:start w:val="1"/>
      <w:numFmt w:val="bullet"/>
      <w:lvlText w:val="o"/>
      <w:lvlJc w:val="left"/>
      <w:pPr>
        <w:ind w:left="3214" w:hanging="360"/>
      </w:pPr>
      <w:rPr>
        <w:rFonts w:ascii="Courier New" w:hAnsi="Courier New" w:cs="Courier New" w:hint="default"/>
      </w:rPr>
    </w:lvl>
    <w:lvl w:ilvl="2" w:tplc="040C0005" w:tentative="1">
      <w:start w:val="1"/>
      <w:numFmt w:val="bullet"/>
      <w:lvlText w:val=""/>
      <w:lvlJc w:val="left"/>
      <w:pPr>
        <w:ind w:left="3934" w:hanging="360"/>
      </w:pPr>
      <w:rPr>
        <w:rFonts w:ascii="Wingdings" w:hAnsi="Wingdings" w:hint="default"/>
      </w:rPr>
    </w:lvl>
    <w:lvl w:ilvl="3" w:tplc="040C0001" w:tentative="1">
      <w:start w:val="1"/>
      <w:numFmt w:val="bullet"/>
      <w:lvlText w:val=""/>
      <w:lvlJc w:val="left"/>
      <w:pPr>
        <w:ind w:left="4654" w:hanging="360"/>
      </w:pPr>
      <w:rPr>
        <w:rFonts w:ascii="Symbol" w:hAnsi="Symbol" w:hint="default"/>
      </w:rPr>
    </w:lvl>
    <w:lvl w:ilvl="4" w:tplc="040C0003" w:tentative="1">
      <w:start w:val="1"/>
      <w:numFmt w:val="bullet"/>
      <w:lvlText w:val="o"/>
      <w:lvlJc w:val="left"/>
      <w:pPr>
        <w:ind w:left="5374" w:hanging="360"/>
      </w:pPr>
      <w:rPr>
        <w:rFonts w:ascii="Courier New" w:hAnsi="Courier New" w:cs="Courier New" w:hint="default"/>
      </w:rPr>
    </w:lvl>
    <w:lvl w:ilvl="5" w:tplc="040C0005" w:tentative="1">
      <w:start w:val="1"/>
      <w:numFmt w:val="bullet"/>
      <w:lvlText w:val=""/>
      <w:lvlJc w:val="left"/>
      <w:pPr>
        <w:ind w:left="6094" w:hanging="360"/>
      </w:pPr>
      <w:rPr>
        <w:rFonts w:ascii="Wingdings" w:hAnsi="Wingdings" w:hint="default"/>
      </w:rPr>
    </w:lvl>
    <w:lvl w:ilvl="6" w:tplc="040C0001" w:tentative="1">
      <w:start w:val="1"/>
      <w:numFmt w:val="bullet"/>
      <w:lvlText w:val=""/>
      <w:lvlJc w:val="left"/>
      <w:pPr>
        <w:ind w:left="6814" w:hanging="360"/>
      </w:pPr>
      <w:rPr>
        <w:rFonts w:ascii="Symbol" w:hAnsi="Symbol" w:hint="default"/>
      </w:rPr>
    </w:lvl>
    <w:lvl w:ilvl="7" w:tplc="040C0003" w:tentative="1">
      <w:start w:val="1"/>
      <w:numFmt w:val="bullet"/>
      <w:lvlText w:val="o"/>
      <w:lvlJc w:val="left"/>
      <w:pPr>
        <w:ind w:left="7534" w:hanging="360"/>
      </w:pPr>
      <w:rPr>
        <w:rFonts w:ascii="Courier New" w:hAnsi="Courier New" w:cs="Courier New" w:hint="default"/>
      </w:rPr>
    </w:lvl>
    <w:lvl w:ilvl="8" w:tplc="040C0005" w:tentative="1">
      <w:start w:val="1"/>
      <w:numFmt w:val="bullet"/>
      <w:lvlText w:val=""/>
      <w:lvlJc w:val="left"/>
      <w:pPr>
        <w:ind w:left="8254" w:hanging="360"/>
      </w:pPr>
      <w:rPr>
        <w:rFonts w:ascii="Wingdings" w:hAnsi="Wingdings" w:hint="default"/>
      </w:rPr>
    </w:lvl>
  </w:abstractNum>
  <w:abstractNum w:abstractNumId="8" w15:restartNumberingAfterBreak="0">
    <w:nsid w:val="30E1556B"/>
    <w:multiLevelType w:val="hybridMultilevel"/>
    <w:tmpl w:val="9CFE2BDA"/>
    <w:lvl w:ilvl="0" w:tplc="DB70D33E">
      <w:start w:val="10"/>
      <w:numFmt w:val="bullet"/>
      <w:lvlText w:val=""/>
      <w:lvlJc w:val="left"/>
      <w:pPr>
        <w:ind w:left="3199" w:hanging="360"/>
      </w:pPr>
      <w:rPr>
        <w:rFonts w:ascii="Symbol" w:eastAsia="Times New Roman" w:hAnsi="Symbol" w:cs="Times New Roman" w:hint="default"/>
      </w:rPr>
    </w:lvl>
    <w:lvl w:ilvl="1" w:tplc="040C0003" w:tentative="1">
      <w:start w:val="1"/>
      <w:numFmt w:val="bullet"/>
      <w:lvlText w:val="o"/>
      <w:lvlJc w:val="left"/>
      <w:pPr>
        <w:ind w:left="3919" w:hanging="360"/>
      </w:pPr>
      <w:rPr>
        <w:rFonts w:ascii="Courier New" w:hAnsi="Courier New" w:cs="Courier New" w:hint="default"/>
      </w:rPr>
    </w:lvl>
    <w:lvl w:ilvl="2" w:tplc="040C0005" w:tentative="1">
      <w:start w:val="1"/>
      <w:numFmt w:val="bullet"/>
      <w:lvlText w:val=""/>
      <w:lvlJc w:val="left"/>
      <w:pPr>
        <w:ind w:left="4639" w:hanging="360"/>
      </w:pPr>
      <w:rPr>
        <w:rFonts w:ascii="Wingdings" w:hAnsi="Wingdings" w:hint="default"/>
      </w:rPr>
    </w:lvl>
    <w:lvl w:ilvl="3" w:tplc="040C0001" w:tentative="1">
      <w:start w:val="1"/>
      <w:numFmt w:val="bullet"/>
      <w:lvlText w:val=""/>
      <w:lvlJc w:val="left"/>
      <w:pPr>
        <w:ind w:left="5359" w:hanging="360"/>
      </w:pPr>
      <w:rPr>
        <w:rFonts w:ascii="Symbol" w:hAnsi="Symbol" w:hint="default"/>
      </w:rPr>
    </w:lvl>
    <w:lvl w:ilvl="4" w:tplc="040C0003" w:tentative="1">
      <w:start w:val="1"/>
      <w:numFmt w:val="bullet"/>
      <w:lvlText w:val="o"/>
      <w:lvlJc w:val="left"/>
      <w:pPr>
        <w:ind w:left="6079" w:hanging="360"/>
      </w:pPr>
      <w:rPr>
        <w:rFonts w:ascii="Courier New" w:hAnsi="Courier New" w:cs="Courier New" w:hint="default"/>
      </w:rPr>
    </w:lvl>
    <w:lvl w:ilvl="5" w:tplc="040C0005" w:tentative="1">
      <w:start w:val="1"/>
      <w:numFmt w:val="bullet"/>
      <w:lvlText w:val=""/>
      <w:lvlJc w:val="left"/>
      <w:pPr>
        <w:ind w:left="6799" w:hanging="360"/>
      </w:pPr>
      <w:rPr>
        <w:rFonts w:ascii="Wingdings" w:hAnsi="Wingdings" w:hint="default"/>
      </w:rPr>
    </w:lvl>
    <w:lvl w:ilvl="6" w:tplc="040C0001" w:tentative="1">
      <w:start w:val="1"/>
      <w:numFmt w:val="bullet"/>
      <w:lvlText w:val=""/>
      <w:lvlJc w:val="left"/>
      <w:pPr>
        <w:ind w:left="7519" w:hanging="360"/>
      </w:pPr>
      <w:rPr>
        <w:rFonts w:ascii="Symbol" w:hAnsi="Symbol" w:hint="default"/>
      </w:rPr>
    </w:lvl>
    <w:lvl w:ilvl="7" w:tplc="040C0003" w:tentative="1">
      <w:start w:val="1"/>
      <w:numFmt w:val="bullet"/>
      <w:lvlText w:val="o"/>
      <w:lvlJc w:val="left"/>
      <w:pPr>
        <w:ind w:left="8239" w:hanging="360"/>
      </w:pPr>
      <w:rPr>
        <w:rFonts w:ascii="Courier New" w:hAnsi="Courier New" w:cs="Courier New" w:hint="default"/>
      </w:rPr>
    </w:lvl>
    <w:lvl w:ilvl="8" w:tplc="040C0005" w:tentative="1">
      <w:start w:val="1"/>
      <w:numFmt w:val="bullet"/>
      <w:lvlText w:val=""/>
      <w:lvlJc w:val="left"/>
      <w:pPr>
        <w:ind w:left="8959" w:hanging="360"/>
      </w:pPr>
      <w:rPr>
        <w:rFonts w:ascii="Wingdings" w:hAnsi="Wingdings" w:hint="default"/>
      </w:rPr>
    </w:lvl>
  </w:abstractNum>
  <w:abstractNum w:abstractNumId="9" w15:restartNumberingAfterBreak="0">
    <w:nsid w:val="31147812"/>
    <w:multiLevelType w:val="hybridMultilevel"/>
    <w:tmpl w:val="DF8CA8F2"/>
    <w:lvl w:ilvl="0" w:tplc="9170E402">
      <w:start w:val="1"/>
      <w:numFmt w:val="lowerLetter"/>
      <w:lvlText w:val="(%1)"/>
      <w:lvlJc w:val="left"/>
      <w:pPr>
        <w:tabs>
          <w:tab w:val="num" w:pos="6600"/>
        </w:tabs>
        <w:ind w:left="6600" w:hanging="4695"/>
      </w:pPr>
      <w:rPr>
        <w:rFonts w:hint="default"/>
      </w:rPr>
    </w:lvl>
    <w:lvl w:ilvl="1" w:tplc="040C0019" w:tentative="1">
      <w:start w:val="1"/>
      <w:numFmt w:val="lowerLetter"/>
      <w:lvlText w:val="%2."/>
      <w:lvlJc w:val="left"/>
      <w:pPr>
        <w:tabs>
          <w:tab w:val="num" w:pos="2985"/>
        </w:tabs>
        <w:ind w:left="2985" w:hanging="360"/>
      </w:pPr>
    </w:lvl>
    <w:lvl w:ilvl="2" w:tplc="040C001B" w:tentative="1">
      <w:start w:val="1"/>
      <w:numFmt w:val="lowerRoman"/>
      <w:lvlText w:val="%3."/>
      <w:lvlJc w:val="right"/>
      <w:pPr>
        <w:tabs>
          <w:tab w:val="num" w:pos="3705"/>
        </w:tabs>
        <w:ind w:left="3705" w:hanging="180"/>
      </w:pPr>
    </w:lvl>
    <w:lvl w:ilvl="3" w:tplc="040C000F" w:tentative="1">
      <w:start w:val="1"/>
      <w:numFmt w:val="decimal"/>
      <w:lvlText w:val="%4."/>
      <w:lvlJc w:val="left"/>
      <w:pPr>
        <w:tabs>
          <w:tab w:val="num" w:pos="4425"/>
        </w:tabs>
        <w:ind w:left="4425" w:hanging="360"/>
      </w:pPr>
    </w:lvl>
    <w:lvl w:ilvl="4" w:tplc="040C0019" w:tentative="1">
      <w:start w:val="1"/>
      <w:numFmt w:val="lowerLetter"/>
      <w:lvlText w:val="%5."/>
      <w:lvlJc w:val="left"/>
      <w:pPr>
        <w:tabs>
          <w:tab w:val="num" w:pos="5145"/>
        </w:tabs>
        <w:ind w:left="5145" w:hanging="360"/>
      </w:pPr>
    </w:lvl>
    <w:lvl w:ilvl="5" w:tplc="040C001B" w:tentative="1">
      <w:start w:val="1"/>
      <w:numFmt w:val="lowerRoman"/>
      <w:lvlText w:val="%6."/>
      <w:lvlJc w:val="right"/>
      <w:pPr>
        <w:tabs>
          <w:tab w:val="num" w:pos="5865"/>
        </w:tabs>
        <w:ind w:left="5865" w:hanging="180"/>
      </w:pPr>
    </w:lvl>
    <w:lvl w:ilvl="6" w:tplc="040C000F" w:tentative="1">
      <w:start w:val="1"/>
      <w:numFmt w:val="decimal"/>
      <w:lvlText w:val="%7."/>
      <w:lvlJc w:val="left"/>
      <w:pPr>
        <w:tabs>
          <w:tab w:val="num" w:pos="6585"/>
        </w:tabs>
        <w:ind w:left="6585" w:hanging="360"/>
      </w:pPr>
    </w:lvl>
    <w:lvl w:ilvl="7" w:tplc="040C0019" w:tentative="1">
      <w:start w:val="1"/>
      <w:numFmt w:val="lowerLetter"/>
      <w:lvlText w:val="%8."/>
      <w:lvlJc w:val="left"/>
      <w:pPr>
        <w:tabs>
          <w:tab w:val="num" w:pos="7305"/>
        </w:tabs>
        <w:ind w:left="7305" w:hanging="360"/>
      </w:pPr>
    </w:lvl>
    <w:lvl w:ilvl="8" w:tplc="040C001B" w:tentative="1">
      <w:start w:val="1"/>
      <w:numFmt w:val="lowerRoman"/>
      <w:lvlText w:val="%9."/>
      <w:lvlJc w:val="right"/>
      <w:pPr>
        <w:tabs>
          <w:tab w:val="num" w:pos="8025"/>
        </w:tabs>
        <w:ind w:left="8025" w:hanging="180"/>
      </w:pPr>
    </w:lvl>
  </w:abstractNum>
  <w:abstractNum w:abstractNumId="10" w15:restartNumberingAfterBreak="0">
    <w:nsid w:val="317E6C8A"/>
    <w:multiLevelType w:val="multilevel"/>
    <w:tmpl w:val="4E78C6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F388B"/>
    <w:multiLevelType w:val="multilevel"/>
    <w:tmpl w:val="EDF6A86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9801AA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B5D236C"/>
    <w:multiLevelType w:val="hybridMultilevel"/>
    <w:tmpl w:val="95C63276"/>
    <w:lvl w:ilvl="0" w:tplc="52AE51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D1C24E5"/>
    <w:multiLevelType w:val="singleLevel"/>
    <w:tmpl w:val="48845048"/>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D831107"/>
    <w:multiLevelType w:val="singleLevel"/>
    <w:tmpl w:val="7AA0C9FA"/>
    <w:lvl w:ilvl="0">
      <w:start w:val="1"/>
      <w:numFmt w:val="bullet"/>
      <w:pStyle w:val="EnumrationPuceCarr"/>
      <w:lvlText w:val=""/>
      <w:lvlJc w:val="left"/>
      <w:pPr>
        <w:tabs>
          <w:tab w:val="num" w:pos="360"/>
        </w:tabs>
        <w:ind w:left="360" w:hanging="360"/>
      </w:pPr>
      <w:rPr>
        <w:rFonts w:ascii="Wingdings" w:hAnsi="Wingdings" w:hint="default"/>
      </w:rPr>
    </w:lvl>
  </w:abstractNum>
  <w:abstractNum w:abstractNumId="16" w15:restartNumberingAfterBreak="0">
    <w:nsid w:val="3DE41144"/>
    <w:multiLevelType w:val="hybridMultilevel"/>
    <w:tmpl w:val="1410F4E8"/>
    <w:lvl w:ilvl="0" w:tplc="040C0001">
      <w:start w:val="1"/>
      <w:numFmt w:val="bullet"/>
      <w:lvlText w:val=""/>
      <w:lvlJc w:val="left"/>
      <w:pPr>
        <w:tabs>
          <w:tab w:val="num" w:pos="1429"/>
        </w:tabs>
        <w:ind w:left="1429" w:hanging="360"/>
      </w:pPr>
      <w:rPr>
        <w:rFonts w:ascii="Symbol" w:hAnsi="Symbol"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430E2495"/>
    <w:multiLevelType w:val="multilevel"/>
    <w:tmpl w:val="A3AEB2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353162"/>
    <w:multiLevelType w:val="multilevel"/>
    <w:tmpl w:val="C6F070B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D01450D"/>
    <w:multiLevelType w:val="singleLevel"/>
    <w:tmpl w:val="8E0612F6"/>
    <w:lvl w:ilvl="0">
      <w:start w:val="1"/>
      <w:numFmt w:val="bullet"/>
      <w:lvlText w:val="-"/>
      <w:lvlJc w:val="left"/>
      <w:pPr>
        <w:tabs>
          <w:tab w:val="num" w:pos="709"/>
        </w:tabs>
        <w:ind w:left="709" w:hanging="425"/>
      </w:pPr>
      <w:rPr>
        <w:rFonts w:ascii="Times New Roman" w:hAnsi="Times New Roman" w:hint="default"/>
      </w:rPr>
    </w:lvl>
  </w:abstractNum>
  <w:abstractNum w:abstractNumId="20" w15:restartNumberingAfterBreak="0">
    <w:nsid w:val="62CB4FA8"/>
    <w:multiLevelType w:val="multilevel"/>
    <w:tmpl w:val="98FEB7DA"/>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pStyle w:val="Titre4"/>
      <w:lvlText w:val="%1.%2.%3.%4."/>
      <w:lvlJc w:val="left"/>
      <w:pPr>
        <w:tabs>
          <w:tab w:val="num" w:pos="1800"/>
        </w:tabs>
        <w:ind w:left="1728" w:hanging="648"/>
      </w:pPr>
    </w:lvl>
    <w:lvl w:ilvl="4">
      <w:start w:val="1"/>
      <w:numFmt w:val="decimal"/>
      <w:pStyle w:val="Titre5"/>
      <w:lvlText w:val="%1.%2.%3.%4.%5."/>
      <w:lvlJc w:val="left"/>
      <w:pPr>
        <w:tabs>
          <w:tab w:val="num" w:pos="2520"/>
        </w:tabs>
        <w:ind w:left="2232" w:hanging="792"/>
      </w:pPr>
    </w:lvl>
    <w:lvl w:ilvl="5">
      <w:start w:val="1"/>
      <w:numFmt w:val="decimal"/>
      <w:pStyle w:val="Titre6"/>
      <w:lvlText w:val="%1.%2.%3.%4.%5.%6."/>
      <w:lvlJc w:val="left"/>
      <w:pPr>
        <w:tabs>
          <w:tab w:val="num" w:pos="2880"/>
        </w:tabs>
        <w:ind w:left="2736" w:hanging="936"/>
      </w:pPr>
    </w:lvl>
    <w:lvl w:ilvl="6">
      <w:start w:val="1"/>
      <w:numFmt w:val="decimal"/>
      <w:pStyle w:val="Titre7"/>
      <w:lvlText w:val="%1.%2.%3.%4.%5.%6.%7."/>
      <w:lvlJc w:val="left"/>
      <w:pPr>
        <w:tabs>
          <w:tab w:val="num" w:pos="3600"/>
        </w:tabs>
        <w:ind w:left="3240" w:hanging="1080"/>
      </w:pPr>
    </w:lvl>
    <w:lvl w:ilvl="7">
      <w:start w:val="1"/>
      <w:numFmt w:val="decimal"/>
      <w:pStyle w:val="Titre8"/>
      <w:lvlText w:val="%1.%2.%3.%4.%5.%6.%7.%8."/>
      <w:lvlJc w:val="left"/>
      <w:pPr>
        <w:tabs>
          <w:tab w:val="num" w:pos="3960"/>
        </w:tabs>
        <w:ind w:left="3744" w:hanging="1224"/>
      </w:pPr>
    </w:lvl>
    <w:lvl w:ilvl="8">
      <w:start w:val="1"/>
      <w:numFmt w:val="decimal"/>
      <w:pStyle w:val="Titre9"/>
      <w:lvlText w:val="%1.%2.%3.%4.%5.%6.%7.%8.%9."/>
      <w:lvlJc w:val="left"/>
      <w:pPr>
        <w:tabs>
          <w:tab w:val="num" w:pos="4680"/>
        </w:tabs>
        <w:ind w:left="4320" w:hanging="1440"/>
      </w:pPr>
    </w:lvl>
  </w:abstractNum>
  <w:abstractNum w:abstractNumId="21" w15:restartNumberingAfterBreak="0">
    <w:nsid w:val="64A30C2C"/>
    <w:multiLevelType w:val="multilevel"/>
    <w:tmpl w:val="30C8DF6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6A876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A742862"/>
    <w:multiLevelType w:val="hybridMultilevel"/>
    <w:tmpl w:val="C8B676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165EFC"/>
    <w:multiLevelType w:val="singleLevel"/>
    <w:tmpl w:val="B2F60AC2"/>
    <w:lvl w:ilvl="0">
      <w:start w:val="1"/>
      <w:numFmt w:val="bullet"/>
      <w:pStyle w:val="EnumrationPuceTiret"/>
      <w:lvlText w:val="–"/>
      <w:lvlJc w:val="left"/>
      <w:pPr>
        <w:tabs>
          <w:tab w:val="num" w:pos="717"/>
        </w:tabs>
        <w:ind w:left="709" w:hanging="352"/>
      </w:pPr>
      <w:rPr>
        <w:rFonts w:ascii="Times New Roman" w:hAnsi="Times New Roman" w:hint="default"/>
      </w:rPr>
    </w:lvl>
  </w:abstractNum>
  <w:abstractNum w:abstractNumId="25" w15:restartNumberingAfterBreak="0">
    <w:nsid w:val="6F490B44"/>
    <w:multiLevelType w:val="multilevel"/>
    <w:tmpl w:val="F8C435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3294778"/>
    <w:multiLevelType w:val="multilevel"/>
    <w:tmpl w:val="E466CB1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45959E9"/>
    <w:multiLevelType w:val="singleLevel"/>
    <w:tmpl w:val="2E2EE4C2"/>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91746A8"/>
    <w:multiLevelType w:val="hybridMultilevel"/>
    <w:tmpl w:val="88943BCC"/>
    <w:lvl w:ilvl="0" w:tplc="5EFC75F4">
      <w:numFmt w:val="bullet"/>
      <w:lvlText w:val="-"/>
      <w:lvlJc w:val="left"/>
      <w:pPr>
        <w:tabs>
          <w:tab w:val="num" w:pos="1789"/>
        </w:tabs>
        <w:ind w:left="1789" w:hanging="360"/>
      </w:pPr>
      <w:rPr>
        <w:rFonts w:ascii="Times New Roman" w:eastAsia="Times New Roman" w:hAnsi="Times New Roman" w:cs="Times New Roman" w:hint="default"/>
      </w:rPr>
    </w:lvl>
    <w:lvl w:ilvl="1" w:tplc="040C0003" w:tentative="1">
      <w:start w:val="1"/>
      <w:numFmt w:val="bullet"/>
      <w:lvlText w:val="o"/>
      <w:lvlJc w:val="left"/>
      <w:pPr>
        <w:tabs>
          <w:tab w:val="num" w:pos="2509"/>
        </w:tabs>
        <w:ind w:left="2509" w:hanging="360"/>
      </w:pPr>
      <w:rPr>
        <w:rFonts w:ascii="Courier New" w:hAnsi="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abstractNum w:abstractNumId="29" w15:restartNumberingAfterBreak="0">
    <w:nsid w:val="7DA14E2B"/>
    <w:multiLevelType w:val="hybridMultilevel"/>
    <w:tmpl w:val="C9CE632E"/>
    <w:lvl w:ilvl="0" w:tplc="DE9C82A8">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abstractNumId w:val="0"/>
  </w:num>
  <w:num w:numId="2">
    <w:abstractNumId w:val="22"/>
  </w:num>
  <w:num w:numId="3">
    <w:abstractNumId w:val="5"/>
  </w:num>
  <w:num w:numId="4">
    <w:abstractNumId w:val="27"/>
  </w:num>
  <w:num w:numId="5">
    <w:abstractNumId w:val="14"/>
  </w:num>
  <w:num w:numId="6">
    <w:abstractNumId w:val="12"/>
  </w:num>
  <w:num w:numId="7">
    <w:abstractNumId w:val="1"/>
  </w:num>
  <w:num w:numId="8">
    <w:abstractNumId w:val="15"/>
  </w:num>
  <w:num w:numId="9">
    <w:abstractNumId w:val="2"/>
  </w:num>
  <w:num w:numId="10">
    <w:abstractNumId w:val="19"/>
  </w:num>
  <w:num w:numId="11">
    <w:abstractNumId w:val="24"/>
  </w:num>
  <w:num w:numId="12">
    <w:abstractNumId w:val="3"/>
  </w:num>
  <w:num w:numId="13">
    <w:abstractNumId w:val="3"/>
  </w:num>
  <w:num w:numId="14">
    <w:abstractNumId w:val="21"/>
  </w:num>
  <w:num w:numId="15">
    <w:abstractNumId w:val="25"/>
  </w:num>
  <w:num w:numId="16">
    <w:abstractNumId w:val="17"/>
  </w:num>
  <w:num w:numId="17">
    <w:abstractNumId w:val="26"/>
  </w:num>
  <w:num w:numId="18">
    <w:abstractNumId w:val="10"/>
  </w:num>
  <w:num w:numId="19">
    <w:abstractNumId w:val="18"/>
  </w:num>
  <w:num w:numId="20">
    <w:abstractNumId w:val="4"/>
  </w:num>
  <w:num w:numId="21">
    <w:abstractNumId w:val="20"/>
  </w:num>
  <w:num w:numId="22">
    <w:abstractNumId w:val="29"/>
  </w:num>
  <w:num w:numId="23">
    <w:abstractNumId w:val="23"/>
  </w:num>
  <w:num w:numId="24">
    <w:abstractNumId w:val="6"/>
  </w:num>
  <w:num w:numId="25">
    <w:abstractNumId w:val="13"/>
  </w:num>
  <w:num w:numId="26">
    <w:abstractNumId w:val="28"/>
  </w:num>
  <w:num w:numId="27">
    <w:abstractNumId w:val="9"/>
  </w:num>
  <w:num w:numId="28">
    <w:abstractNumId w:val="20"/>
  </w:num>
  <w:num w:numId="29">
    <w:abstractNumId w:val="7"/>
  </w:num>
  <w:num w:numId="30">
    <w:abstractNumId w:val="8"/>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E6E"/>
    <w:rsid w:val="0000011C"/>
    <w:rsid w:val="00021CD6"/>
    <w:rsid w:val="00027C90"/>
    <w:rsid w:val="00034F44"/>
    <w:rsid w:val="000446A6"/>
    <w:rsid w:val="00046C87"/>
    <w:rsid w:val="00047B06"/>
    <w:rsid w:val="00047B76"/>
    <w:rsid w:val="0006531F"/>
    <w:rsid w:val="00065D82"/>
    <w:rsid w:val="00067A46"/>
    <w:rsid w:val="00071FE7"/>
    <w:rsid w:val="00077FC7"/>
    <w:rsid w:val="00080616"/>
    <w:rsid w:val="00083D26"/>
    <w:rsid w:val="00084BFE"/>
    <w:rsid w:val="0009087C"/>
    <w:rsid w:val="0009271F"/>
    <w:rsid w:val="00093C4B"/>
    <w:rsid w:val="000A7CE8"/>
    <w:rsid w:val="000A7E8C"/>
    <w:rsid w:val="000D47BF"/>
    <w:rsid w:val="000D4B7F"/>
    <w:rsid w:val="000E7BBF"/>
    <w:rsid w:val="000E7ED9"/>
    <w:rsid w:val="000F43E0"/>
    <w:rsid w:val="0011208E"/>
    <w:rsid w:val="001143EC"/>
    <w:rsid w:val="00134999"/>
    <w:rsid w:val="001358A5"/>
    <w:rsid w:val="001474BD"/>
    <w:rsid w:val="001554B6"/>
    <w:rsid w:val="00160371"/>
    <w:rsid w:val="00160CA9"/>
    <w:rsid w:val="00162385"/>
    <w:rsid w:val="00170D89"/>
    <w:rsid w:val="00171B21"/>
    <w:rsid w:val="001762DC"/>
    <w:rsid w:val="001870FF"/>
    <w:rsid w:val="001B300D"/>
    <w:rsid w:val="001C1847"/>
    <w:rsid w:val="001D06EC"/>
    <w:rsid w:val="001D179C"/>
    <w:rsid w:val="001D1A9E"/>
    <w:rsid w:val="001E0821"/>
    <w:rsid w:val="001E6D61"/>
    <w:rsid w:val="001F4E9E"/>
    <w:rsid w:val="001F6B1A"/>
    <w:rsid w:val="00217079"/>
    <w:rsid w:val="00227CD1"/>
    <w:rsid w:val="00236CCB"/>
    <w:rsid w:val="00242D68"/>
    <w:rsid w:val="00245755"/>
    <w:rsid w:val="002476E5"/>
    <w:rsid w:val="00250E2F"/>
    <w:rsid w:val="002555FA"/>
    <w:rsid w:val="00261419"/>
    <w:rsid w:val="00264C9C"/>
    <w:rsid w:val="00270674"/>
    <w:rsid w:val="00271057"/>
    <w:rsid w:val="002728B8"/>
    <w:rsid w:val="00273D59"/>
    <w:rsid w:val="002743DE"/>
    <w:rsid w:val="00277700"/>
    <w:rsid w:val="00281AFF"/>
    <w:rsid w:val="00286BD6"/>
    <w:rsid w:val="0029544A"/>
    <w:rsid w:val="002A23B0"/>
    <w:rsid w:val="002A4349"/>
    <w:rsid w:val="002A621C"/>
    <w:rsid w:val="002B5E4D"/>
    <w:rsid w:val="002C252A"/>
    <w:rsid w:val="002C2A63"/>
    <w:rsid w:val="002C2BDB"/>
    <w:rsid w:val="002C770A"/>
    <w:rsid w:val="002D4AD0"/>
    <w:rsid w:val="002D6F48"/>
    <w:rsid w:val="002E7652"/>
    <w:rsid w:val="002F3273"/>
    <w:rsid w:val="00312C2B"/>
    <w:rsid w:val="00320CE0"/>
    <w:rsid w:val="00322679"/>
    <w:rsid w:val="00335802"/>
    <w:rsid w:val="00344E5A"/>
    <w:rsid w:val="00350FDC"/>
    <w:rsid w:val="00351BEB"/>
    <w:rsid w:val="00352F17"/>
    <w:rsid w:val="00357767"/>
    <w:rsid w:val="0039186B"/>
    <w:rsid w:val="00392CF9"/>
    <w:rsid w:val="00394A6B"/>
    <w:rsid w:val="003973CC"/>
    <w:rsid w:val="003977F6"/>
    <w:rsid w:val="003A04BF"/>
    <w:rsid w:val="003A09FA"/>
    <w:rsid w:val="003A181E"/>
    <w:rsid w:val="003B44EA"/>
    <w:rsid w:val="003B6251"/>
    <w:rsid w:val="003C2334"/>
    <w:rsid w:val="003C3956"/>
    <w:rsid w:val="003D3D84"/>
    <w:rsid w:val="003D425B"/>
    <w:rsid w:val="003D4A15"/>
    <w:rsid w:val="003D53F3"/>
    <w:rsid w:val="003D6CE0"/>
    <w:rsid w:val="003E0EBB"/>
    <w:rsid w:val="003F2AF8"/>
    <w:rsid w:val="003F537D"/>
    <w:rsid w:val="003F6972"/>
    <w:rsid w:val="00405430"/>
    <w:rsid w:val="00415806"/>
    <w:rsid w:val="00417BE0"/>
    <w:rsid w:val="004238ED"/>
    <w:rsid w:val="00427B7B"/>
    <w:rsid w:val="00431F00"/>
    <w:rsid w:val="00434D95"/>
    <w:rsid w:val="00441603"/>
    <w:rsid w:val="00443BE7"/>
    <w:rsid w:val="00446628"/>
    <w:rsid w:val="00456816"/>
    <w:rsid w:val="00460FE3"/>
    <w:rsid w:val="00465626"/>
    <w:rsid w:val="0047166C"/>
    <w:rsid w:val="00480520"/>
    <w:rsid w:val="00482114"/>
    <w:rsid w:val="00492837"/>
    <w:rsid w:val="004938AE"/>
    <w:rsid w:val="00494B35"/>
    <w:rsid w:val="004A57FC"/>
    <w:rsid w:val="004B06CE"/>
    <w:rsid w:val="004B29DF"/>
    <w:rsid w:val="004B7F14"/>
    <w:rsid w:val="004C3C92"/>
    <w:rsid w:val="004C7A8C"/>
    <w:rsid w:val="004D339F"/>
    <w:rsid w:val="004D392E"/>
    <w:rsid w:val="004E58E1"/>
    <w:rsid w:val="004E71E0"/>
    <w:rsid w:val="004F007A"/>
    <w:rsid w:val="004F113D"/>
    <w:rsid w:val="004F54C1"/>
    <w:rsid w:val="00503593"/>
    <w:rsid w:val="00523314"/>
    <w:rsid w:val="005262F8"/>
    <w:rsid w:val="005274DA"/>
    <w:rsid w:val="00530C9B"/>
    <w:rsid w:val="00544DB4"/>
    <w:rsid w:val="005510A9"/>
    <w:rsid w:val="0055246B"/>
    <w:rsid w:val="005526CF"/>
    <w:rsid w:val="00554EC6"/>
    <w:rsid w:val="00566486"/>
    <w:rsid w:val="00571F97"/>
    <w:rsid w:val="00572E0B"/>
    <w:rsid w:val="00576F6D"/>
    <w:rsid w:val="00581AB2"/>
    <w:rsid w:val="00581F11"/>
    <w:rsid w:val="00590409"/>
    <w:rsid w:val="0059077B"/>
    <w:rsid w:val="00595D17"/>
    <w:rsid w:val="005A6A38"/>
    <w:rsid w:val="005B3717"/>
    <w:rsid w:val="005C0182"/>
    <w:rsid w:val="005C3155"/>
    <w:rsid w:val="005C465D"/>
    <w:rsid w:val="005D0F3C"/>
    <w:rsid w:val="005D36F4"/>
    <w:rsid w:val="005E14C2"/>
    <w:rsid w:val="005E46CB"/>
    <w:rsid w:val="005F0ED3"/>
    <w:rsid w:val="005F3E1F"/>
    <w:rsid w:val="005F6887"/>
    <w:rsid w:val="00600AAF"/>
    <w:rsid w:val="00602FAA"/>
    <w:rsid w:val="006069A5"/>
    <w:rsid w:val="00607033"/>
    <w:rsid w:val="006175AE"/>
    <w:rsid w:val="00623F6D"/>
    <w:rsid w:val="00627BB9"/>
    <w:rsid w:val="00627C83"/>
    <w:rsid w:val="006318F5"/>
    <w:rsid w:val="00631BF8"/>
    <w:rsid w:val="00643D79"/>
    <w:rsid w:val="00644ED2"/>
    <w:rsid w:val="00650753"/>
    <w:rsid w:val="00653AE0"/>
    <w:rsid w:val="006616E7"/>
    <w:rsid w:val="00662702"/>
    <w:rsid w:val="00664F57"/>
    <w:rsid w:val="0067587B"/>
    <w:rsid w:val="006A3D1F"/>
    <w:rsid w:val="006C208B"/>
    <w:rsid w:val="006C2C72"/>
    <w:rsid w:val="006C3377"/>
    <w:rsid w:val="006C7399"/>
    <w:rsid w:val="006D14C4"/>
    <w:rsid w:val="006D3E79"/>
    <w:rsid w:val="006D5DDB"/>
    <w:rsid w:val="006E331E"/>
    <w:rsid w:val="006E4236"/>
    <w:rsid w:val="006E4455"/>
    <w:rsid w:val="006E6022"/>
    <w:rsid w:val="006E6205"/>
    <w:rsid w:val="006F7AE1"/>
    <w:rsid w:val="00703EA4"/>
    <w:rsid w:val="007057D4"/>
    <w:rsid w:val="00706DEE"/>
    <w:rsid w:val="007070CA"/>
    <w:rsid w:val="00713C94"/>
    <w:rsid w:val="00714869"/>
    <w:rsid w:val="00721CE2"/>
    <w:rsid w:val="0072436A"/>
    <w:rsid w:val="00725538"/>
    <w:rsid w:val="00732A31"/>
    <w:rsid w:val="00745B5F"/>
    <w:rsid w:val="00746E9B"/>
    <w:rsid w:val="00750DFA"/>
    <w:rsid w:val="007531D1"/>
    <w:rsid w:val="0076600B"/>
    <w:rsid w:val="0077449B"/>
    <w:rsid w:val="00782896"/>
    <w:rsid w:val="0078675F"/>
    <w:rsid w:val="00786A11"/>
    <w:rsid w:val="00793C1E"/>
    <w:rsid w:val="00797448"/>
    <w:rsid w:val="007A1AA8"/>
    <w:rsid w:val="007B6F00"/>
    <w:rsid w:val="007C7E87"/>
    <w:rsid w:val="007D0E2B"/>
    <w:rsid w:val="007F3FC7"/>
    <w:rsid w:val="007F53F1"/>
    <w:rsid w:val="0081152F"/>
    <w:rsid w:val="00815C0D"/>
    <w:rsid w:val="008207E5"/>
    <w:rsid w:val="00827555"/>
    <w:rsid w:val="00832DC7"/>
    <w:rsid w:val="00840CF9"/>
    <w:rsid w:val="00841CE9"/>
    <w:rsid w:val="00843B3D"/>
    <w:rsid w:val="00846CB8"/>
    <w:rsid w:val="00863FCB"/>
    <w:rsid w:val="0086728B"/>
    <w:rsid w:val="008679E9"/>
    <w:rsid w:val="00877652"/>
    <w:rsid w:val="00877B0D"/>
    <w:rsid w:val="00881702"/>
    <w:rsid w:val="00884043"/>
    <w:rsid w:val="00887186"/>
    <w:rsid w:val="0089326E"/>
    <w:rsid w:val="00894F9A"/>
    <w:rsid w:val="008A245B"/>
    <w:rsid w:val="008A57A2"/>
    <w:rsid w:val="008A6291"/>
    <w:rsid w:val="008C73F6"/>
    <w:rsid w:val="008D0C47"/>
    <w:rsid w:val="008D6E42"/>
    <w:rsid w:val="008D7F8C"/>
    <w:rsid w:val="008E308D"/>
    <w:rsid w:val="008E33B5"/>
    <w:rsid w:val="008F0823"/>
    <w:rsid w:val="008F0DA9"/>
    <w:rsid w:val="008F4045"/>
    <w:rsid w:val="00911046"/>
    <w:rsid w:val="00926DAA"/>
    <w:rsid w:val="00932A06"/>
    <w:rsid w:val="00933758"/>
    <w:rsid w:val="00946007"/>
    <w:rsid w:val="00946A71"/>
    <w:rsid w:val="00957486"/>
    <w:rsid w:val="00960F18"/>
    <w:rsid w:val="00962D86"/>
    <w:rsid w:val="00963871"/>
    <w:rsid w:val="00963872"/>
    <w:rsid w:val="0097321D"/>
    <w:rsid w:val="00980BB4"/>
    <w:rsid w:val="00997C07"/>
    <w:rsid w:val="009A0166"/>
    <w:rsid w:val="009A53AC"/>
    <w:rsid w:val="009A6303"/>
    <w:rsid w:val="009B0F08"/>
    <w:rsid w:val="009B2A06"/>
    <w:rsid w:val="009C25D4"/>
    <w:rsid w:val="009C736F"/>
    <w:rsid w:val="009E74B5"/>
    <w:rsid w:val="009F11B0"/>
    <w:rsid w:val="009F6E10"/>
    <w:rsid w:val="009F7E8E"/>
    <w:rsid w:val="00A0193D"/>
    <w:rsid w:val="00A01DD4"/>
    <w:rsid w:val="00A043F6"/>
    <w:rsid w:val="00A07B69"/>
    <w:rsid w:val="00A10E23"/>
    <w:rsid w:val="00A16077"/>
    <w:rsid w:val="00A177AB"/>
    <w:rsid w:val="00A236EF"/>
    <w:rsid w:val="00A23CE1"/>
    <w:rsid w:val="00A326BB"/>
    <w:rsid w:val="00A351F5"/>
    <w:rsid w:val="00A36F43"/>
    <w:rsid w:val="00A43193"/>
    <w:rsid w:val="00A46284"/>
    <w:rsid w:val="00A52DB6"/>
    <w:rsid w:val="00A5307B"/>
    <w:rsid w:val="00A545BA"/>
    <w:rsid w:val="00A5791B"/>
    <w:rsid w:val="00A6422F"/>
    <w:rsid w:val="00A75EA5"/>
    <w:rsid w:val="00A80BC5"/>
    <w:rsid w:val="00A846E4"/>
    <w:rsid w:val="00A94E53"/>
    <w:rsid w:val="00AA4A05"/>
    <w:rsid w:val="00AB2142"/>
    <w:rsid w:val="00AB22A8"/>
    <w:rsid w:val="00AB76E5"/>
    <w:rsid w:val="00AC3B76"/>
    <w:rsid w:val="00AC64C9"/>
    <w:rsid w:val="00AD1B8B"/>
    <w:rsid w:val="00AD3D63"/>
    <w:rsid w:val="00AD69ED"/>
    <w:rsid w:val="00AF0D3C"/>
    <w:rsid w:val="00AF6EFB"/>
    <w:rsid w:val="00B07603"/>
    <w:rsid w:val="00B11F83"/>
    <w:rsid w:val="00B17F56"/>
    <w:rsid w:val="00B24925"/>
    <w:rsid w:val="00B301D1"/>
    <w:rsid w:val="00B34397"/>
    <w:rsid w:val="00B369AE"/>
    <w:rsid w:val="00B412B0"/>
    <w:rsid w:val="00B41C14"/>
    <w:rsid w:val="00B44DE4"/>
    <w:rsid w:val="00B476B9"/>
    <w:rsid w:val="00B50E86"/>
    <w:rsid w:val="00B51E42"/>
    <w:rsid w:val="00B53893"/>
    <w:rsid w:val="00B53B55"/>
    <w:rsid w:val="00B70659"/>
    <w:rsid w:val="00B72CD6"/>
    <w:rsid w:val="00B82B90"/>
    <w:rsid w:val="00B97A17"/>
    <w:rsid w:val="00BC3254"/>
    <w:rsid w:val="00BC5DDF"/>
    <w:rsid w:val="00BD05D3"/>
    <w:rsid w:val="00BD5D91"/>
    <w:rsid w:val="00BD5DC1"/>
    <w:rsid w:val="00BE5DF9"/>
    <w:rsid w:val="00BE7ACB"/>
    <w:rsid w:val="00BF447B"/>
    <w:rsid w:val="00BF7DDE"/>
    <w:rsid w:val="00C00E4D"/>
    <w:rsid w:val="00C01AA3"/>
    <w:rsid w:val="00C02E32"/>
    <w:rsid w:val="00C03BA0"/>
    <w:rsid w:val="00C16853"/>
    <w:rsid w:val="00C2513F"/>
    <w:rsid w:val="00C27A1A"/>
    <w:rsid w:val="00C315C5"/>
    <w:rsid w:val="00C3428A"/>
    <w:rsid w:val="00C40B31"/>
    <w:rsid w:val="00C43894"/>
    <w:rsid w:val="00C51960"/>
    <w:rsid w:val="00C51DDD"/>
    <w:rsid w:val="00C52AE3"/>
    <w:rsid w:val="00C5329C"/>
    <w:rsid w:val="00C5334B"/>
    <w:rsid w:val="00C60A6B"/>
    <w:rsid w:val="00C62E89"/>
    <w:rsid w:val="00C65F50"/>
    <w:rsid w:val="00C66958"/>
    <w:rsid w:val="00C675F5"/>
    <w:rsid w:val="00C95980"/>
    <w:rsid w:val="00C96460"/>
    <w:rsid w:val="00CB1D6E"/>
    <w:rsid w:val="00CC0F33"/>
    <w:rsid w:val="00CD204D"/>
    <w:rsid w:val="00CD52E0"/>
    <w:rsid w:val="00CD5A28"/>
    <w:rsid w:val="00CD6FB9"/>
    <w:rsid w:val="00CE09CE"/>
    <w:rsid w:val="00CE2472"/>
    <w:rsid w:val="00CE565A"/>
    <w:rsid w:val="00CF2B0E"/>
    <w:rsid w:val="00D050A0"/>
    <w:rsid w:val="00D1007B"/>
    <w:rsid w:val="00D248C3"/>
    <w:rsid w:val="00D27BEB"/>
    <w:rsid w:val="00D30059"/>
    <w:rsid w:val="00D448EE"/>
    <w:rsid w:val="00D4529A"/>
    <w:rsid w:val="00D54B16"/>
    <w:rsid w:val="00D551F4"/>
    <w:rsid w:val="00D57C47"/>
    <w:rsid w:val="00D64135"/>
    <w:rsid w:val="00D64F7F"/>
    <w:rsid w:val="00D71AD5"/>
    <w:rsid w:val="00D76A36"/>
    <w:rsid w:val="00DB583B"/>
    <w:rsid w:val="00DC2E84"/>
    <w:rsid w:val="00DC375E"/>
    <w:rsid w:val="00DC48EC"/>
    <w:rsid w:val="00DC5DBE"/>
    <w:rsid w:val="00DC6A9A"/>
    <w:rsid w:val="00DC7AFB"/>
    <w:rsid w:val="00DD0ECF"/>
    <w:rsid w:val="00DD1DBB"/>
    <w:rsid w:val="00DD2662"/>
    <w:rsid w:val="00DD3FD5"/>
    <w:rsid w:val="00DD427D"/>
    <w:rsid w:val="00DE26D8"/>
    <w:rsid w:val="00DE31BD"/>
    <w:rsid w:val="00E010CC"/>
    <w:rsid w:val="00E068CE"/>
    <w:rsid w:val="00E17720"/>
    <w:rsid w:val="00E22789"/>
    <w:rsid w:val="00E2281F"/>
    <w:rsid w:val="00E35B56"/>
    <w:rsid w:val="00E44906"/>
    <w:rsid w:val="00E466D9"/>
    <w:rsid w:val="00E54D42"/>
    <w:rsid w:val="00E556EC"/>
    <w:rsid w:val="00E57968"/>
    <w:rsid w:val="00E64BF7"/>
    <w:rsid w:val="00E64FD5"/>
    <w:rsid w:val="00E665C9"/>
    <w:rsid w:val="00E747CF"/>
    <w:rsid w:val="00E77BC0"/>
    <w:rsid w:val="00E80870"/>
    <w:rsid w:val="00E85E6E"/>
    <w:rsid w:val="00E92225"/>
    <w:rsid w:val="00EA2C4F"/>
    <w:rsid w:val="00EA63B5"/>
    <w:rsid w:val="00EA79F6"/>
    <w:rsid w:val="00EC226B"/>
    <w:rsid w:val="00EC32A8"/>
    <w:rsid w:val="00ED1D60"/>
    <w:rsid w:val="00ED7ABE"/>
    <w:rsid w:val="00EE1AAF"/>
    <w:rsid w:val="00EE4064"/>
    <w:rsid w:val="00EE5CDE"/>
    <w:rsid w:val="00EE73A7"/>
    <w:rsid w:val="00EF2004"/>
    <w:rsid w:val="00F00D34"/>
    <w:rsid w:val="00F214CA"/>
    <w:rsid w:val="00F26162"/>
    <w:rsid w:val="00F342D5"/>
    <w:rsid w:val="00F3568D"/>
    <w:rsid w:val="00F3605B"/>
    <w:rsid w:val="00F5169D"/>
    <w:rsid w:val="00F55D90"/>
    <w:rsid w:val="00F6137E"/>
    <w:rsid w:val="00F6156A"/>
    <w:rsid w:val="00F770E9"/>
    <w:rsid w:val="00F97780"/>
    <w:rsid w:val="00FA4C56"/>
    <w:rsid w:val="00FA5758"/>
    <w:rsid w:val="00FB6A28"/>
    <w:rsid w:val="00FC05F4"/>
    <w:rsid w:val="00FD048B"/>
    <w:rsid w:val="00FD1BE2"/>
    <w:rsid w:val="00FE4579"/>
    <w:rsid w:val="00FE4795"/>
    <w:rsid w:val="00FE4F3D"/>
    <w:rsid w:val="00FE6D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508EC8-EB02-4406-A53F-4DC5192F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709"/>
      <w:jc w:val="both"/>
    </w:pPr>
    <w:rPr>
      <w:sz w:val="24"/>
    </w:rPr>
  </w:style>
  <w:style w:type="paragraph" w:styleId="Titre1">
    <w:name w:val="heading 1"/>
    <w:next w:val="Normal"/>
    <w:qFormat/>
    <w:pPr>
      <w:keepNext/>
      <w:numPr>
        <w:numId w:val="28"/>
      </w:numPr>
      <w:tabs>
        <w:tab w:val="left" w:pos="454"/>
      </w:tabs>
      <w:spacing w:before="480" w:after="120"/>
      <w:jc w:val="both"/>
      <w:outlineLvl w:val="0"/>
    </w:pPr>
    <w:rPr>
      <w:b/>
      <w:noProof/>
      <w:sz w:val="28"/>
    </w:rPr>
  </w:style>
  <w:style w:type="paragraph" w:styleId="Titre2">
    <w:name w:val="heading 2"/>
    <w:next w:val="Normal"/>
    <w:qFormat/>
    <w:pPr>
      <w:keepNext/>
      <w:numPr>
        <w:ilvl w:val="1"/>
        <w:numId w:val="28"/>
      </w:numPr>
      <w:tabs>
        <w:tab w:val="left" w:pos="851"/>
      </w:tabs>
      <w:spacing w:before="120" w:after="80"/>
      <w:jc w:val="both"/>
      <w:outlineLvl w:val="1"/>
    </w:pPr>
    <w:rPr>
      <w:b/>
      <w:sz w:val="24"/>
    </w:rPr>
  </w:style>
  <w:style w:type="paragraph" w:styleId="Titre3">
    <w:name w:val="heading 3"/>
    <w:next w:val="Normal"/>
    <w:qFormat/>
    <w:pPr>
      <w:keepNext/>
      <w:numPr>
        <w:ilvl w:val="2"/>
        <w:numId w:val="28"/>
      </w:numPr>
      <w:spacing w:before="120" w:after="80"/>
      <w:jc w:val="both"/>
      <w:outlineLvl w:val="2"/>
    </w:pPr>
    <w:rPr>
      <w:b/>
      <w:i/>
      <w:sz w:val="24"/>
    </w:rPr>
  </w:style>
  <w:style w:type="paragraph" w:styleId="Titre4">
    <w:name w:val="heading 4"/>
    <w:next w:val="Normal"/>
    <w:qFormat/>
    <w:pPr>
      <w:keepNext/>
      <w:numPr>
        <w:ilvl w:val="3"/>
        <w:numId w:val="28"/>
      </w:numPr>
      <w:spacing w:before="80"/>
      <w:outlineLvl w:val="3"/>
    </w:pPr>
    <w:rPr>
      <w:i/>
      <w:noProof/>
      <w:sz w:val="24"/>
    </w:rPr>
  </w:style>
  <w:style w:type="paragraph" w:styleId="Titre5">
    <w:name w:val="heading 5"/>
    <w:next w:val="Normal"/>
    <w:qFormat/>
    <w:pPr>
      <w:numPr>
        <w:ilvl w:val="4"/>
        <w:numId w:val="28"/>
      </w:numPr>
      <w:spacing w:before="80"/>
      <w:jc w:val="both"/>
      <w:outlineLvl w:val="4"/>
    </w:pPr>
    <w:rPr>
      <w:i/>
      <w:sz w:val="24"/>
    </w:rPr>
  </w:style>
  <w:style w:type="paragraph" w:styleId="Titre6">
    <w:name w:val="heading 6"/>
    <w:next w:val="Normal"/>
    <w:qFormat/>
    <w:pPr>
      <w:keepNext/>
      <w:numPr>
        <w:ilvl w:val="5"/>
        <w:numId w:val="28"/>
      </w:numPr>
      <w:spacing w:before="80"/>
      <w:outlineLvl w:val="5"/>
    </w:pPr>
    <w:rPr>
      <w:i/>
      <w:noProof/>
      <w:sz w:val="24"/>
    </w:rPr>
  </w:style>
  <w:style w:type="paragraph" w:styleId="Titre7">
    <w:name w:val="heading 7"/>
    <w:next w:val="Normal"/>
    <w:qFormat/>
    <w:pPr>
      <w:numPr>
        <w:ilvl w:val="6"/>
        <w:numId w:val="28"/>
      </w:numPr>
      <w:spacing w:before="80"/>
      <w:jc w:val="both"/>
      <w:outlineLvl w:val="6"/>
    </w:pPr>
    <w:rPr>
      <w:i/>
      <w:sz w:val="24"/>
    </w:rPr>
  </w:style>
  <w:style w:type="paragraph" w:styleId="Titre8">
    <w:name w:val="heading 8"/>
    <w:next w:val="Normal"/>
    <w:qFormat/>
    <w:pPr>
      <w:numPr>
        <w:ilvl w:val="7"/>
        <w:numId w:val="28"/>
      </w:numPr>
      <w:spacing w:before="80"/>
      <w:outlineLvl w:val="7"/>
    </w:pPr>
    <w:rPr>
      <w:i/>
      <w:noProof/>
      <w:sz w:val="24"/>
    </w:rPr>
  </w:style>
  <w:style w:type="paragraph" w:styleId="Titre9">
    <w:name w:val="heading 9"/>
    <w:next w:val="Normal"/>
    <w:qFormat/>
    <w:pPr>
      <w:numPr>
        <w:ilvl w:val="8"/>
        <w:numId w:val="28"/>
      </w:numPr>
      <w:spacing w:before="80"/>
      <w:outlineLvl w:val="8"/>
    </w:pPr>
    <w:rPr>
      <w:i/>
      <w:noProo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right" w:pos="12333"/>
      </w:tabs>
      <w:ind w:firstLine="0"/>
      <w:jc w:val="right"/>
    </w:pPr>
    <w:rPr>
      <w:sz w:val="16"/>
    </w:rPr>
  </w:style>
  <w:style w:type="paragraph" w:styleId="TM1">
    <w:name w:val="toc 1"/>
    <w:next w:val="Normal"/>
    <w:semiHidden/>
    <w:pPr>
      <w:tabs>
        <w:tab w:val="left" w:pos="425"/>
        <w:tab w:val="right" w:leader="dot" w:pos="10432"/>
      </w:tabs>
      <w:spacing w:before="240" w:line="300" w:lineRule="atLeast"/>
      <w:ind w:left="426" w:hanging="426"/>
    </w:pPr>
    <w:rPr>
      <w:b/>
      <w:caps/>
      <w:noProof/>
      <w:sz w:val="28"/>
    </w:rPr>
  </w:style>
  <w:style w:type="paragraph" w:styleId="TM2">
    <w:name w:val="toc 2"/>
    <w:next w:val="Normal"/>
    <w:semiHidden/>
    <w:pPr>
      <w:tabs>
        <w:tab w:val="left" w:pos="1134"/>
        <w:tab w:val="right" w:leader="dot" w:pos="10432"/>
      </w:tabs>
      <w:spacing w:line="300" w:lineRule="atLeast"/>
      <w:ind w:left="1134" w:hanging="709"/>
    </w:pPr>
    <w:rPr>
      <w:b/>
      <w:noProof/>
      <w:sz w:val="24"/>
    </w:rPr>
  </w:style>
  <w:style w:type="paragraph" w:styleId="TM3">
    <w:name w:val="toc 3"/>
    <w:next w:val="Normal"/>
    <w:semiHidden/>
    <w:pPr>
      <w:tabs>
        <w:tab w:val="left" w:pos="1985"/>
        <w:tab w:val="right" w:leader="dot" w:pos="10432"/>
      </w:tabs>
      <w:spacing w:line="300" w:lineRule="atLeast"/>
      <w:ind w:left="1984" w:hanging="992"/>
    </w:pPr>
    <w:rPr>
      <w:b/>
      <w:i/>
      <w:noProof/>
      <w:sz w:val="24"/>
    </w:rPr>
  </w:style>
  <w:style w:type="paragraph" w:styleId="TM4">
    <w:name w:val="toc 4"/>
    <w:next w:val="Normal"/>
    <w:semiHidden/>
    <w:pPr>
      <w:tabs>
        <w:tab w:val="left" w:pos="2410"/>
        <w:tab w:val="right" w:leader="dot" w:pos="10432"/>
      </w:tabs>
      <w:ind w:left="2410" w:hanging="709"/>
    </w:pPr>
    <w:rPr>
      <w:noProof/>
      <w:sz w:val="22"/>
    </w:rPr>
  </w:style>
  <w:style w:type="paragraph" w:styleId="TM5">
    <w:name w:val="toc 5"/>
    <w:next w:val="Normal"/>
    <w:semiHidden/>
    <w:pPr>
      <w:tabs>
        <w:tab w:val="left" w:pos="2694"/>
        <w:tab w:val="right" w:leader="dot" w:pos="10432"/>
      </w:tabs>
      <w:ind w:left="2694" w:hanging="993"/>
    </w:pPr>
    <w:rPr>
      <w:noProof/>
      <w:sz w:val="22"/>
    </w:rPr>
  </w:style>
  <w:style w:type="paragraph" w:styleId="TM6">
    <w:name w:val="toc 6"/>
    <w:next w:val="Normal"/>
    <w:semiHidden/>
    <w:pPr>
      <w:tabs>
        <w:tab w:val="left" w:pos="2835"/>
        <w:tab w:val="right" w:leader="dot" w:pos="10432"/>
      </w:tabs>
      <w:ind w:left="2835" w:hanging="1134"/>
    </w:pPr>
    <w:rPr>
      <w:i/>
      <w:noProof/>
      <w:sz w:val="22"/>
    </w:rPr>
  </w:style>
  <w:style w:type="paragraph" w:styleId="TM7">
    <w:name w:val="toc 7"/>
    <w:next w:val="Normal"/>
    <w:semiHidden/>
    <w:pPr>
      <w:tabs>
        <w:tab w:val="left" w:pos="2977"/>
        <w:tab w:val="right" w:leader="dot" w:pos="10432"/>
      </w:tabs>
      <w:ind w:left="2977" w:hanging="1276"/>
    </w:pPr>
    <w:rPr>
      <w:i/>
      <w:noProof/>
    </w:rPr>
  </w:style>
  <w:style w:type="paragraph" w:styleId="TM8">
    <w:name w:val="toc 8"/>
    <w:next w:val="Normal"/>
    <w:semiHidden/>
    <w:pPr>
      <w:tabs>
        <w:tab w:val="left" w:pos="3119"/>
        <w:tab w:val="right" w:leader="dot" w:pos="10432"/>
      </w:tabs>
      <w:ind w:left="3119" w:hanging="1418"/>
    </w:pPr>
    <w:rPr>
      <w:i/>
      <w:noProof/>
    </w:rPr>
  </w:style>
  <w:style w:type="character" w:styleId="Lienhypertextesuivivisit">
    <w:name w:val="FollowedHyperlink"/>
    <w:rPr>
      <w:color w:val="800080"/>
      <w:u w:val="single"/>
    </w:rPr>
  </w:style>
  <w:style w:type="paragraph" w:styleId="TM9">
    <w:name w:val="toc 9"/>
    <w:next w:val="Normal"/>
    <w:semiHidden/>
    <w:pPr>
      <w:tabs>
        <w:tab w:val="left" w:pos="3261"/>
        <w:tab w:val="right" w:leader="dot" w:pos="10432"/>
      </w:tabs>
      <w:ind w:left="3261" w:hanging="1560"/>
    </w:pPr>
    <w:rPr>
      <w:i/>
      <w:noProof/>
    </w:rPr>
  </w:style>
  <w:style w:type="paragraph" w:customStyle="1" w:styleId="Equation">
    <w:name w:val="Equation"/>
    <w:basedOn w:val="Normal"/>
    <w:next w:val="Normal"/>
    <w:pPr>
      <w:tabs>
        <w:tab w:val="center" w:pos="5245"/>
        <w:tab w:val="right" w:pos="10206"/>
      </w:tabs>
      <w:ind w:firstLine="0"/>
      <w:jc w:val="left"/>
    </w:pPr>
  </w:style>
  <w:style w:type="paragraph" w:customStyle="1" w:styleId="Titre0">
    <w:name w:val="Titre 0"/>
    <w:next w:val="Auteurs"/>
    <w:pPr>
      <w:spacing w:before="600" w:after="400"/>
      <w:jc w:val="center"/>
    </w:pPr>
    <w:rPr>
      <w:b/>
      <w:noProof/>
      <w:sz w:val="36"/>
    </w:rPr>
  </w:style>
  <w:style w:type="paragraph" w:customStyle="1" w:styleId="TitreTDM">
    <w:name w:val="Titre TDM"/>
    <w:basedOn w:val="Titre1"/>
    <w:next w:val="Normal"/>
    <w:pPr>
      <w:numPr>
        <w:numId w:val="0"/>
      </w:numPr>
      <w:jc w:val="center"/>
      <w:outlineLvl w:val="9"/>
    </w:pPr>
  </w:style>
  <w:style w:type="paragraph" w:customStyle="1" w:styleId="Lgendefigure">
    <w:name w:val="Légende figure"/>
    <w:basedOn w:val="Lgendetable"/>
    <w:next w:val="Corpsdetextecentr"/>
  </w:style>
  <w:style w:type="paragraph" w:customStyle="1" w:styleId="Numerodepage">
    <w:name w:val="Numero de page"/>
    <w:basedOn w:val="Normal"/>
    <w:pPr>
      <w:tabs>
        <w:tab w:val="right" w:pos="10206"/>
      </w:tabs>
      <w:spacing w:before="120"/>
      <w:ind w:firstLine="0"/>
      <w:jc w:val="left"/>
    </w:pPr>
    <w:rPr>
      <w:sz w:val="20"/>
    </w:rPr>
  </w:style>
  <w:style w:type="paragraph" w:styleId="Retraitcorpsdetexte">
    <w:name w:val="Body Text Indent"/>
    <w:basedOn w:val="Normal"/>
    <w:pPr>
      <w:ind w:firstLine="720"/>
    </w:pPr>
    <w:rPr>
      <w:szCs w:val="24"/>
    </w:rPr>
  </w:style>
  <w:style w:type="paragraph" w:customStyle="1" w:styleId="Lgendetable">
    <w:name w:val="Légende table"/>
    <w:basedOn w:val="Normal"/>
    <w:next w:val="Corpsdetextecentr"/>
    <w:pPr>
      <w:keepNext/>
      <w:ind w:firstLine="0"/>
      <w:jc w:val="center"/>
    </w:pPr>
    <w:rPr>
      <w:i/>
      <w:sz w:val="22"/>
    </w:rPr>
  </w:style>
  <w:style w:type="paragraph" w:customStyle="1" w:styleId="EnumrationPuceCarr">
    <w:name w:val="Enumération Puce Carré"/>
    <w:pPr>
      <w:numPr>
        <w:numId w:val="8"/>
      </w:numPr>
      <w:tabs>
        <w:tab w:val="clear" w:pos="360"/>
        <w:tab w:val="num" w:pos="1069"/>
      </w:tabs>
      <w:spacing w:line="300" w:lineRule="atLeast"/>
      <w:ind w:left="1066" w:hanging="357"/>
      <w:jc w:val="both"/>
    </w:pPr>
    <w:rPr>
      <w:noProof/>
      <w:sz w:val="24"/>
    </w:rPr>
  </w:style>
  <w:style w:type="paragraph" w:customStyle="1" w:styleId="EnumrationPuceTiret">
    <w:name w:val="Enumération Puce Tiret"/>
    <w:pPr>
      <w:numPr>
        <w:numId w:val="11"/>
      </w:numPr>
      <w:tabs>
        <w:tab w:val="clear" w:pos="717"/>
        <w:tab w:val="left" w:pos="1072"/>
      </w:tabs>
      <w:spacing w:line="300" w:lineRule="atLeast"/>
      <w:ind w:left="1066" w:hanging="357"/>
      <w:jc w:val="both"/>
    </w:pPr>
    <w:rPr>
      <w:noProof/>
      <w:sz w:val="24"/>
    </w:rPr>
  </w:style>
  <w:style w:type="paragraph" w:customStyle="1" w:styleId="RfrenceBibliographique">
    <w:name w:val="Référence Bibliographique"/>
    <w:basedOn w:val="Normal"/>
    <w:pPr>
      <w:numPr>
        <w:numId w:val="13"/>
      </w:numPr>
      <w:spacing w:before="120"/>
      <w:jc w:val="left"/>
    </w:pPr>
    <w:rPr>
      <w:sz w:val="22"/>
    </w:rPr>
  </w:style>
  <w:style w:type="paragraph" w:styleId="Corpsdetexte3">
    <w:name w:val="Body Text 3"/>
    <w:basedOn w:val="Normal"/>
    <w:pPr>
      <w:ind w:firstLine="0"/>
    </w:pPr>
    <w:rPr>
      <w:szCs w:val="24"/>
    </w:rPr>
  </w:style>
  <w:style w:type="paragraph" w:customStyle="1" w:styleId="En-tte-titre">
    <w:name w:val="En-tête - titre"/>
    <w:basedOn w:val="Normal"/>
    <w:pPr>
      <w:ind w:firstLine="0"/>
      <w:jc w:val="center"/>
    </w:pPr>
    <w:rPr>
      <w:i/>
      <w:sz w:val="20"/>
    </w:rPr>
  </w:style>
  <w:style w:type="paragraph" w:customStyle="1" w:styleId="En-tte-auteurs">
    <w:name w:val="En-tête - auteurs"/>
    <w:basedOn w:val="Normal"/>
    <w:pPr>
      <w:spacing w:after="240"/>
      <w:ind w:firstLine="0"/>
      <w:jc w:val="center"/>
    </w:pPr>
    <w:rPr>
      <w:i/>
      <w:sz w:val="20"/>
    </w:rPr>
  </w:style>
  <w:style w:type="paragraph" w:customStyle="1" w:styleId="Auteurs">
    <w:name w:val="Auteurs"/>
    <w:basedOn w:val="Corpsdetexte"/>
    <w:next w:val="Adresseauteurs"/>
    <w:pPr>
      <w:spacing w:after="200"/>
      <w:jc w:val="center"/>
    </w:pPr>
    <w:rPr>
      <w:b/>
    </w:rPr>
  </w:style>
  <w:style w:type="character" w:styleId="Lienhypertexte">
    <w:name w:val="Hyperlink"/>
    <w:rPr>
      <w:color w:val="0000FF"/>
      <w:u w:val="single"/>
    </w:rPr>
  </w:style>
  <w:style w:type="paragraph" w:styleId="Corpsdetexte">
    <w:name w:val="Body Text"/>
    <w:basedOn w:val="Normal"/>
    <w:pPr>
      <w:ind w:firstLine="0"/>
    </w:pPr>
    <w:rPr>
      <w:szCs w:val="24"/>
    </w:rPr>
  </w:style>
  <w:style w:type="paragraph" w:customStyle="1" w:styleId="Corpsdetextecentr">
    <w:name w:val="Corps de texte centré"/>
    <w:basedOn w:val="Corpsdetexte"/>
    <w:pPr>
      <w:jc w:val="center"/>
    </w:pPr>
  </w:style>
  <w:style w:type="paragraph" w:styleId="En-tte">
    <w:name w:val="header"/>
    <w:basedOn w:val="Normal"/>
    <w:pPr>
      <w:tabs>
        <w:tab w:val="center" w:pos="4536"/>
        <w:tab w:val="right" w:pos="9072"/>
      </w:tabs>
    </w:pPr>
  </w:style>
  <w:style w:type="paragraph" w:customStyle="1" w:styleId="TitreRsum">
    <w:name w:val="Titre Résumé"/>
    <w:basedOn w:val="Corpsdetextecentr"/>
    <w:next w:val="Normal"/>
    <w:pPr>
      <w:spacing w:before="240"/>
    </w:pPr>
    <w:rPr>
      <w:b/>
      <w:i/>
    </w:rPr>
  </w:style>
  <w:style w:type="character" w:styleId="Numrodepage">
    <w:name w:val="page number"/>
    <w:basedOn w:val="Policepardfaut"/>
  </w:style>
  <w:style w:type="paragraph" w:customStyle="1" w:styleId="Adresseauteurs">
    <w:name w:val="Adresse auteurs"/>
    <w:basedOn w:val="Auteurs"/>
    <w:pPr>
      <w:spacing w:after="0"/>
    </w:pPr>
    <w:rPr>
      <w:b w:val="0"/>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table" w:styleId="Grilledutableau">
    <w:name w:val="Table Grid"/>
    <w:basedOn w:val="TableauNormal"/>
    <w:rsid w:val="000E7ED9"/>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um">
    <w:name w:val="Résumé"/>
    <w:basedOn w:val="Lgendefigure"/>
    <w:pPr>
      <w:jc w:val="left"/>
    </w:pPr>
  </w:style>
  <w:style w:type="paragraph" w:customStyle="1" w:styleId="Remerciements">
    <w:name w:val="Remerciements"/>
    <w:basedOn w:val="Rsum"/>
  </w:style>
  <w:style w:type="paragraph" w:styleId="PrformatHTML">
    <w:name w:val="HTML Preformatted"/>
    <w:basedOn w:val="Normal"/>
    <w:rsid w:val="00C3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Cs w:val="24"/>
    </w:rPr>
  </w:style>
  <w:style w:type="paragraph" w:styleId="Textedebulles">
    <w:name w:val="Balloon Text"/>
    <w:basedOn w:val="Normal"/>
    <w:link w:val="TextedebullesCar"/>
    <w:uiPriority w:val="99"/>
    <w:semiHidden/>
    <w:unhideWhenUsed/>
    <w:rsid w:val="00600AAF"/>
    <w:rPr>
      <w:rFonts w:ascii="Tahoma" w:hAnsi="Tahoma"/>
      <w:sz w:val="16"/>
      <w:szCs w:val="16"/>
      <w:lang w:val="x-none" w:eastAsia="x-none"/>
    </w:rPr>
  </w:style>
  <w:style w:type="character" w:customStyle="1" w:styleId="TextedebullesCar">
    <w:name w:val="Texte de bulles Car"/>
    <w:link w:val="Textedebulles"/>
    <w:uiPriority w:val="99"/>
    <w:semiHidden/>
    <w:rsid w:val="00600AAF"/>
    <w:rPr>
      <w:rFonts w:ascii="Tahoma" w:hAnsi="Tahoma" w:cs="Tahoma"/>
      <w:sz w:val="16"/>
      <w:szCs w:val="16"/>
    </w:rPr>
  </w:style>
  <w:style w:type="character" w:customStyle="1" w:styleId="PieddepageCar">
    <w:name w:val="Pied de page Car"/>
    <w:basedOn w:val="Policepardfaut"/>
    <w:link w:val="Pieddepage"/>
    <w:uiPriority w:val="99"/>
    <w:rsid w:val="00A0193D"/>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161592">
      <w:bodyDiv w:val="1"/>
      <w:marLeft w:val="54"/>
      <w:marRight w:val="54"/>
      <w:marTop w:val="0"/>
      <w:marBottom w:val="0"/>
      <w:divBdr>
        <w:top w:val="none" w:sz="0" w:space="0" w:color="auto"/>
        <w:left w:val="none" w:sz="0" w:space="0" w:color="auto"/>
        <w:bottom w:val="none" w:sz="0" w:space="0" w:color="auto"/>
        <w:right w:val="none" w:sz="0" w:space="0" w:color="auto"/>
      </w:divBdr>
      <w:divsChild>
        <w:div w:id="124040501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eur.ONERA-1TCAAB9GN\Mes%20documents\GN-MEBA\Mod&#232;le_GNMEBA.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69EAE-79DD-481D-8F88-64F59F4A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Modèle_GNMEBA</Template>
  <TotalTime>103</TotalTime>
  <Pages>1</Pages>
  <Words>1861</Words>
  <Characters>10241</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TD EDS</vt:lpstr>
    </vt:vector>
  </TitlesOfParts>
  <Company>ONERA</Company>
  <LinksUpToDate>false</LinksUpToDate>
  <CharactersWithSpaces>12078</CharactersWithSpaces>
  <SharedDoc>false</SharedDoc>
  <HLinks>
    <vt:vector size="18" baseType="variant">
      <vt:variant>
        <vt:i4>3735576</vt:i4>
      </vt:variant>
      <vt:variant>
        <vt:i4>6</vt:i4>
      </vt:variant>
      <vt:variant>
        <vt:i4>0</vt:i4>
      </vt:variant>
      <vt:variant>
        <vt:i4>5</vt:i4>
      </vt:variant>
      <vt:variant>
        <vt:lpwstr>mailto:francois.brisset@u-psud.fr</vt:lpwstr>
      </vt:variant>
      <vt:variant>
        <vt:lpwstr/>
      </vt:variant>
      <vt:variant>
        <vt:i4>4194367</vt:i4>
      </vt:variant>
      <vt:variant>
        <vt:i4>3</vt:i4>
      </vt:variant>
      <vt:variant>
        <vt:i4>0</vt:i4>
      </vt:variant>
      <vt:variant>
        <vt:i4>5</vt:i4>
      </vt:variant>
      <vt:variant>
        <vt:lpwstr>http://mail.ijl.nancy-universite.fr/service/home/AppData/Local/Temp/jacky.ruste@free.fr</vt:lpwstr>
      </vt:variant>
      <vt:variant>
        <vt:lpwstr/>
      </vt:variant>
      <vt:variant>
        <vt:i4>2228293</vt:i4>
      </vt:variant>
      <vt:variant>
        <vt:i4>0</vt:i4>
      </vt:variant>
      <vt:variant>
        <vt:i4>0</vt:i4>
      </vt:variant>
      <vt:variant>
        <vt:i4>5</vt:i4>
      </vt:variant>
      <vt:variant>
        <vt:lpwstr>mailto:christine.gendarme@ijl.nancy-universite.fr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 EDS</dc:title>
  <dc:subject>GN-MEBA Stage 1</dc:subject>
  <dc:creator>Francois Brisset</dc:creator>
  <dc:description>Saint Martin d'Hère 2006</dc:description>
  <cp:lastModifiedBy>Alain Jadin</cp:lastModifiedBy>
  <cp:revision>6</cp:revision>
  <cp:lastPrinted>2017-06-07T07:03:00Z</cp:lastPrinted>
  <dcterms:created xsi:type="dcterms:W3CDTF">2017-06-06T13:41:00Z</dcterms:created>
  <dcterms:modified xsi:type="dcterms:W3CDTF">2017-06-07T08:00:00Z</dcterms:modified>
  <cp:category>TD EDS</cp:category>
</cp:coreProperties>
</file>

<file path=docProps/custom.xml><?xml version="1.0" encoding="utf-8"?>
<Properties xmlns="http://schemas.openxmlformats.org/officeDocument/2006/custom-properties" xmlns:vt="http://schemas.openxmlformats.org/officeDocument/2006/docPropsVTypes"/>
</file>